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4ECF9765" w:rsidR="008D671A" w:rsidRPr="003C4153" w:rsidRDefault="002B7592" w:rsidP="001F3484">
      <w:pPr>
        <w:spacing w:before="120" w:after="120" w:line="276" w:lineRule="auto"/>
        <w:jc w:val="center"/>
        <w:rPr>
          <w:rFonts w:ascii="Arial" w:eastAsia="Times New Roman" w:hAnsi="Arial" w:cs="Arial"/>
          <w:b/>
          <w:bCs/>
          <w:u w:val="single"/>
          <w:lang w:val="es-ES_tradnl" w:eastAsia="es-ES"/>
        </w:rPr>
      </w:pPr>
      <w:bookmarkStart w:id="0" w:name="_GoBack"/>
      <w:bookmarkEnd w:id="0"/>
      <w:r w:rsidRPr="003C4153">
        <w:rPr>
          <w:rFonts w:ascii="Arial" w:eastAsia="Times New Roman" w:hAnsi="Arial" w:cs="Arial"/>
          <w:b/>
          <w:bCs/>
          <w:u w:val="single"/>
          <w:lang w:val="es-ES_tradnl" w:eastAsia="es-ES"/>
        </w:rPr>
        <w:t xml:space="preserve">PROGRAMA </w:t>
      </w:r>
      <w:r w:rsidR="002F7579" w:rsidRPr="003C4153">
        <w:rPr>
          <w:rFonts w:ascii="Arial" w:eastAsia="Times New Roman" w:hAnsi="Arial" w:cs="Arial"/>
          <w:b/>
          <w:bCs/>
          <w:u w:val="single"/>
          <w:lang w:val="es-ES_tradnl" w:eastAsia="es-ES"/>
        </w:rPr>
        <w:t>46</w:t>
      </w:r>
      <w:r w:rsidR="00E728EC" w:rsidRPr="003C4153">
        <w:rPr>
          <w:rFonts w:ascii="Arial" w:eastAsia="Times New Roman" w:hAnsi="Arial" w:cs="Arial"/>
          <w:b/>
          <w:bCs/>
          <w:u w:val="single"/>
          <w:lang w:val="es-ES_tradnl" w:eastAsia="es-ES"/>
        </w:rPr>
        <w:t>O</w:t>
      </w:r>
      <w:r w:rsidR="002F7579" w:rsidRPr="003C4153">
        <w:rPr>
          <w:rFonts w:ascii="Arial" w:eastAsia="Times New Roman" w:hAnsi="Arial" w:cs="Arial"/>
          <w:b/>
          <w:bCs/>
          <w:u w:val="single"/>
          <w:lang w:val="es-ES_tradnl" w:eastAsia="es-ES"/>
        </w:rPr>
        <w:t>A</w:t>
      </w:r>
    </w:p>
    <w:p w14:paraId="458BAF72" w14:textId="583E0B06" w:rsidR="00E052AF" w:rsidRDefault="00E052AF" w:rsidP="00E052AF">
      <w:pPr>
        <w:tabs>
          <w:tab w:val="left" w:pos="567"/>
          <w:tab w:val="left" w:pos="1559"/>
        </w:tabs>
        <w:spacing w:before="600" w:after="120" w:line="360" w:lineRule="exact"/>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C15</w:t>
      </w:r>
      <w:r w:rsidR="001A45C4">
        <w:rPr>
          <w:rFonts w:ascii="Arial" w:eastAsia="Times New Roman" w:hAnsi="Arial" w:cs="Arial"/>
          <w:b/>
          <w:bCs/>
          <w:u w:val="single"/>
          <w:lang w:val="es-ES_tradnl" w:eastAsia="es-ES"/>
        </w:rPr>
        <w:t xml:space="preserve"> </w:t>
      </w:r>
      <w:r w:rsidRPr="006F7143">
        <w:rPr>
          <w:rFonts w:ascii="Arial" w:eastAsia="Times New Roman" w:hAnsi="Arial" w:cs="Arial"/>
          <w:b/>
          <w:bCs/>
          <w:u w:val="single"/>
          <w:lang w:val="es-ES_tradnl" w:eastAsia="es-ES"/>
        </w:rPr>
        <w:t>I</w:t>
      </w:r>
      <w:r>
        <w:rPr>
          <w:rFonts w:ascii="Arial" w:eastAsia="Times New Roman" w:hAnsi="Arial" w:cs="Arial"/>
          <w:b/>
          <w:bCs/>
          <w:u w:val="single"/>
          <w:lang w:val="es-ES_tradnl" w:eastAsia="es-ES"/>
        </w:rPr>
        <w:t>01 F</w:t>
      </w:r>
      <w:r w:rsidR="00AA3E42">
        <w:rPr>
          <w:rFonts w:ascii="Arial" w:eastAsia="Times New Roman" w:hAnsi="Arial" w:cs="Arial"/>
          <w:b/>
          <w:bCs/>
          <w:u w:val="single"/>
          <w:lang w:val="es-ES_tradnl" w:eastAsia="es-ES"/>
        </w:rPr>
        <w:t>AVORECER LA VERTEBRACIÓN TERRITORIAL MEDIANTE DESPLIEGUE DE REDES</w:t>
      </w:r>
      <w:r>
        <w:rPr>
          <w:rFonts w:ascii="Arial" w:eastAsia="Times New Roman" w:hAnsi="Arial" w:cs="Arial"/>
          <w:b/>
          <w:bCs/>
          <w:u w:val="single"/>
          <w:lang w:val="es-ES_tradnl" w:eastAsia="es-ES"/>
        </w:rPr>
        <w:t>. E</w:t>
      </w:r>
      <w:r w:rsidR="00E41FE0">
        <w:rPr>
          <w:rFonts w:ascii="Arial" w:eastAsia="Times New Roman" w:hAnsi="Arial" w:cs="Arial"/>
          <w:b/>
          <w:bCs/>
          <w:u w:val="single"/>
          <w:lang w:val="es-ES_tradnl" w:eastAsia="es-ES"/>
        </w:rPr>
        <w:t>X</w:t>
      </w:r>
      <w:r w:rsidR="00AA3E42">
        <w:rPr>
          <w:rFonts w:ascii="Arial" w:eastAsia="Times New Roman" w:hAnsi="Arial" w:cs="Arial"/>
          <w:b/>
          <w:bCs/>
          <w:u w:val="single"/>
          <w:lang w:val="es-ES_tradnl" w:eastAsia="es-ES"/>
        </w:rPr>
        <w:t>TENSIÓN DE LA BANDA ANCHA ULTRA</w:t>
      </w:r>
      <w:r w:rsidR="00390888">
        <w:rPr>
          <w:rFonts w:ascii="Arial" w:eastAsia="Times New Roman" w:hAnsi="Arial" w:cs="Arial"/>
          <w:b/>
          <w:bCs/>
          <w:u w:val="single"/>
          <w:lang w:val="es-ES_tradnl" w:eastAsia="es-ES"/>
        </w:rPr>
        <w:t>RRÁPIDA</w:t>
      </w:r>
    </w:p>
    <w:p w14:paraId="01B1F31A" w14:textId="6273A6BC" w:rsidR="008D6E7E" w:rsidRPr="003C4153" w:rsidRDefault="000975A3" w:rsidP="009A1AEF">
      <w:pPr>
        <w:pStyle w:val="Prrafodelista"/>
        <w:numPr>
          <w:ilvl w:val="0"/>
          <w:numId w:val="1"/>
        </w:numPr>
        <w:tabs>
          <w:tab w:val="left" w:pos="567"/>
          <w:tab w:val="left" w:pos="1559"/>
        </w:tabs>
        <w:spacing w:before="960" w:after="120" w:line="360" w:lineRule="exact"/>
        <w:ind w:left="0" w:firstLine="0"/>
        <w:contextualSpacing w:val="0"/>
        <w:jc w:val="left"/>
        <w:rPr>
          <w:rFonts w:ascii="Arial" w:eastAsia="Times New Roman" w:hAnsi="Arial" w:cs="Arial"/>
          <w:b/>
          <w:bCs/>
          <w:lang w:val="es-ES_tradnl" w:eastAsia="es-ES"/>
        </w:rPr>
      </w:pPr>
      <w:r w:rsidRPr="003C4153">
        <w:rPr>
          <w:rFonts w:ascii="Arial" w:eastAsia="Times New Roman" w:hAnsi="Arial" w:cs="Arial"/>
          <w:b/>
          <w:bCs/>
          <w:lang w:val="es-ES_tradnl" w:eastAsia="es-ES"/>
        </w:rPr>
        <w:t>D</w:t>
      </w:r>
      <w:r w:rsidR="00571E4C">
        <w:rPr>
          <w:rFonts w:ascii="Arial" w:eastAsia="Times New Roman" w:hAnsi="Arial" w:cs="Arial"/>
          <w:b/>
          <w:bCs/>
          <w:lang w:val="es-ES_tradnl" w:eastAsia="es-ES"/>
        </w:rPr>
        <w:t>ENOMINACIÓN DEL COMPONENTE</w:t>
      </w:r>
    </w:p>
    <w:p w14:paraId="6B0781D1" w14:textId="5F39D545" w:rsidR="007844CB" w:rsidRPr="003C4153" w:rsidRDefault="002F7579" w:rsidP="003C4153">
      <w:pPr>
        <w:pStyle w:val="Sinespaciado"/>
        <w:tabs>
          <w:tab w:val="left" w:pos="567"/>
          <w:tab w:val="left" w:pos="1559"/>
        </w:tabs>
        <w:spacing w:before="120" w:after="120" w:line="360" w:lineRule="exact"/>
        <w:ind w:firstLine="1134"/>
        <w:rPr>
          <w:rFonts w:ascii="Arial" w:hAnsi="Arial" w:cs="Arial"/>
          <w:b/>
          <w:lang w:val="es-ES_tradnl" w:eastAsia="es-ES"/>
        </w:rPr>
      </w:pPr>
      <w:r w:rsidRPr="003C4153">
        <w:rPr>
          <w:rFonts w:ascii="Arial" w:hAnsi="Arial" w:cs="Arial"/>
          <w:lang w:val="es-ES_tradnl" w:eastAsia="es-ES"/>
        </w:rPr>
        <w:t>Conectividad digital, impulso a la ciberseguridad y despliegue del 5G.</w:t>
      </w:r>
    </w:p>
    <w:p w14:paraId="6B820FE9" w14:textId="01A99E3E" w:rsidR="002B7592" w:rsidRPr="003C4153" w:rsidRDefault="000975A3" w:rsidP="009A1AEF">
      <w:pPr>
        <w:pStyle w:val="Prrafodelista"/>
        <w:numPr>
          <w:ilvl w:val="0"/>
          <w:numId w:val="1"/>
        </w:numPr>
        <w:tabs>
          <w:tab w:val="left" w:pos="567"/>
          <w:tab w:val="left" w:pos="1559"/>
        </w:tabs>
        <w:spacing w:before="360" w:after="120" w:line="360" w:lineRule="exact"/>
        <w:ind w:left="0" w:firstLine="0"/>
        <w:contextualSpacing w:val="0"/>
        <w:jc w:val="left"/>
        <w:rPr>
          <w:rFonts w:ascii="Arial" w:eastAsia="Times New Roman" w:hAnsi="Arial" w:cs="Arial"/>
          <w:b/>
          <w:bCs/>
          <w:lang w:val="es-ES_tradnl" w:eastAsia="es-ES"/>
        </w:rPr>
      </w:pPr>
      <w:r w:rsidRPr="003C4153">
        <w:rPr>
          <w:rFonts w:ascii="Arial" w:eastAsia="Times New Roman" w:hAnsi="Arial" w:cs="Arial"/>
          <w:b/>
          <w:bCs/>
          <w:lang w:val="es-ES_tradnl" w:eastAsia="es-ES"/>
        </w:rPr>
        <w:t>D</w:t>
      </w:r>
      <w:r w:rsidR="00571E4C">
        <w:rPr>
          <w:rFonts w:ascii="Arial" w:eastAsia="Times New Roman" w:hAnsi="Arial" w:cs="Arial"/>
          <w:b/>
          <w:bCs/>
          <w:lang w:val="es-ES_tradnl" w:eastAsia="es-ES"/>
        </w:rPr>
        <w:t>ESCRIPCIÓN GENERAL DEL COMPONENTE</w:t>
      </w:r>
    </w:p>
    <w:p w14:paraId="75A23E0C" w14:textId="773A93AE" w:rsidR="00370950" w:rsidRPr="003C4153" w:rsidRDefault="00370950"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 xml:space="preserve">La conectividad digital es un factor esencial para el desarrollo de la actividad económica, el aumento de la productividad, el impulso de la innovación y la cohesión territorial y social. El acceso a las redes digitales es cada vez más necesario para poder acceder a los servicios públicos, ejercer actividades económicas y participar activamente en la sociedad. </w:t>
      </w:r>
    </w:p>
    <w:p w14:paraId="1479052A" w14:textId="6F4CF00E" w:rsidR="00370950" w:rsidRPr="003C4153" w:rsidRDefault="00370950" w:rsidP="003C4153">
      <w:pPr>
        <w:pStyle w:val="Sinespaciado"/>
        <w:tabs>
          <w:tab w:val="left" w:pos="567"/>
          <w:tab w:val="left" w:pos="1559"/>
        </w:tabs>
        <w:spacing w:before="120" w:after="120" w:line="360" w:lineRule="exact"/>
        <w:ind w:firstLine="1134"/>
        <w:rPr>
          <w:rFonts w:ascii="Arial" w:eastAsia="Times New Roman" w:hAnsi="Arial" w:cs="Arial"/>
          <w:b/>
          <w:bCs/>
          <w:lang w:val="es-ES_tradnl" w:eastAsia="es-ES"/>
        </w:rPr>
      </w:pPr>
      <w:r w:rsidRPr="003C4153">
        <w:rPr>
          <w:rFonts w:ascii="Arial" w:hAnsi="Arial" w:cs="Arial"/>
        </w:rPr>
        <w:t>Este componente del Plan de Recuperación, Transformación y Resiliencia español aborda los retos de la conectividad a la hora de lograr la cobertura de redes fijas ultrarrápidas, con más de 100 Mbps/s, y de la red 5G en España, en particular, en las zonas rurales y en los corredores de transporte transfronterizos clave. Desde la perspectiva de la ciberseguridad, el principal reto que aborda el componente es crear un entorno fiable y seguro para que los ciudadanos y las empresas contribuyan al proceso de digitalización e hiperconectividad asociado a la aplicación de la tecnología 5G y a los servicios que esta última propiciará, como las aplicaciones relacionadas con el internet de las cosas.</w:t>
      </w:r>
    </w:p>
    <w:p w14:paraId="3266318F" w14:textId="1C89A899" w:rsidR="00CC6D8C" w:rsidRPr="003C4153" w:rsidRDefault="000975A3" w:rsidP="009A1AEF">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3C4153">
        <w:rPr>
          <w:rFonts w:ascii="Arial" w:hAnsi="Arial" w:cs="Arial"/>
          <w:b/>
        </w:rPr>
        <w:t>P</w:t>
      </w:r>
      <w:r w:rsidR="00571E4C">
        <w:rPr>
          <w:rFonts w:ascii="Arial" w:hAnsi="Arial" w:cs="Arial"/>
          <w:b/>
        </w:rPr>
        <w:t>RINCIPALES OBJETIVOS DEL COMPONENTE</w:t>
      </w:r>
    </w:p>
    <w:p w14:paraId="2A092BDC" w14:textId="583CFA9B" w:rsidR="003D6C6F" w:rsidRPr="003C4153" w:rsidRDefault="003D6C6F"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 xml:space="preserve">Los objetivos de este componente son adaptar el sector de las telecomunicaciones a los requisitos de la Estrategia Digital Europea y reforzar la cohesión económica, social y territorial mediante la eliminación de las brechas digitales y el aumento del acceso a la cobertura ultrarrápida en todo el territorio nacional. </w:t>
      </w:r>
    </w:p>
    <w:p w14:paraId="52D2C289" w14:textId="3666EA0B" w:rsidR="003D6C6F" w:rsidRPr="003C4153" w:rsidRDefault="003D6C6F"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 xml:space="preserve">El componente apoya la implantación acelerada de la tecnología 5G: </w:t>
      </w:r>
    </w:p>
    <w:p w14:paraId="22804262" w14:textId="68D52A95" w:rsidR="003D6C6F" w:rsidRPr="003C4153" w:rsidRDefault="003D6C6F" w:rsidP="003C4153">
      <w:pPr>
        <w:pStyle w:val="Sinespaciado"/>
        <w:numPr>
          <w:ilvl w:val="0"/>
          <w:numId w:val="2"/>
        </w:numPr>
        <w:tabs>
          <w:tab w:val="left" w:pos="567"/>
          <w:tab w:val="left" w:pos="1559"/>
        </w:tabs>
        <w:spacing w:before="120" w:after="120" w:line="360" w:lineRule="exact"/>
        <w:ind w:left="0" w:firstLine="1134"/>
        <w:rPr>
          <w:rFonts w:ascii="Arial" w:hAnsi="Arial" w:cs="Arial"/>
        </w:rPr>
      </w:pPr>
      <w:r w:rsidRPr="003C4153">
        <w:rPr>
          <w:rFonts w:ascii="Arial" w:hAnsi="Arial" w:cs="Arial"/>
        </w:rPr>
        <w:t>Mediante la puesta a disposición de los recursos de espectro necesarios en las bandas prioritarias de 5G.</w:t>
      </w:r>
    </w:p>
    <w:p w14:paraId="2840DBE3" w14:textId="5383C343" w:rsidR="003D6C6F" w:rsidRPr="003C4153" w:rsidRDefault="003D6C6F" w:rsidP="003C4153">
      <w:pPr>
        <w:pStyle w:val="Sinespaciado"/>
        <w:numPr>
          <w:ilvl w:val="0"/>
          <w:numId w:val="2"/>
        </w:numPr>
        <w:tabs>
          <w:tab w:val="left" w:pos="567"/>
          <w:tab w:val="left" w:pos="1559"/>
        </w:tabs>
        <w:spacing w:before="120" w:after="120" w:line="360" w:lineRule="exact"/>
        <w:ind w:left="0" w:firstLine="1134"/>
        <w:rPr>
          <w:rFonts w:ascii="Arial" w:hAnsi="Arial" w:cs="Arial"/>
        </w:rPr>
      </w:pPr>
      <w:r w:rsidRPr="003C4153">
        <w:rPr>
          <w:rFonts w:ascii="Arial" w:hAnsi="Arial" w:cs="Arial"/>
        </w:rPr>
        <w:t xml:space="preserve">Mediante el desarrollo de un entorno de implantación fiable y seguro. </w:t>
      </w:r>
    </w:p>
    <w:p w14:paraId="407DF96F" w14:textId="77777777" w:rsidR="003D6C6F" w:rsidRPr="003C4153" w:rsidRDefault="003D6C6F" w:rsidP="003C4153">
      <w:pPr>
        <w:pStyle w:val="Sinespaciado"/>
        <w:numPr>
          <w:ilvl w:val="0"/>
          <w:numId w:val="2"/>
        </w:numPr>
        <w:tabs>
          <w:tab w:val="left" w:pos="567"/>
          <w:tab w:val="left" w:pos="1559"/>
        </w:tabs>
        <w:spacing w:before="120" w:after="120" w:line="360" w:lineRule="exact"/>
        <w:ind w:left="0" w:firstLine="1134"/>
        <w:rPr>
          <w:rFonts w:ascii="Arial" w:hAnsi="Arial" w:cs="Arial"/>
        </w:rPr>
      </w:pPr>
      <w:r w:rsidRPr="003C4153">
        <w:rPr>
          <w:rFonts w:ascii="Arial" w:hAnsi="Arial" w:cs="Arial"/>
        </w:rPr>
        <w:lastRenderedPageBreak/>
        <w:t xml:space="preserve">Mediante el fomento del desarrollo de aplicaciones de tecnología 5G. </w:t>
      </w:r>
    </w:p>
    <w:p w14:paraId="722A70A8" w14:textId="77777777" w:rsidR="00890798" w:rsidRPr="003C4153" w:rsidRDefault="003D6C6F"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 xml:space="preserve">También tiene por objeto apoyar una cultura de ciberseguridad sostenible en favor de ciudadanos y empresas. </w:t>
      </w:r>
    </w:p>
    <w:p w14:paraId="4BF519DB" w14:textId="6130E300" w:rsidR="003D6C6F" w:rsidRPr="003C4153" w:rsidRDefault="003D6C6F"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El componente responde a las recomendaciones específicas por país sobre la focalización de la política económica de inversión en el fomento de la innovación (recomendación específica por país 3 de 2019), y sobre la consignación anticipada de proyectos de inversión pública maduros y la concentración de las inversiones en la transición digital (recomendación específica por país 3 de 2020).</w:t>
      </w:r>
    </w:p>
    <w:p w14:paraId="592E814F" w14:textId="214CE917" w:rsidR="000975A3" w:rsidRPr="003C4153" w:rsidRDefault="000975A3" w:rsidP="009A1AEF">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3C4153">
        <w:rPr>
          <w:rFonts w:ascii="Arial" w:hAnsi="Arial" w:cs="Arial"/>
          <w:b/>
        </w:rPr>
        <w:t>D</w:t>
      </w:r>
      <w:r w:rsidR="00571E4C">
        <w:rPr>
          <w:rFonts w:ascii="Arial" w:hAnsi="Arial" w:cs="Arial"/>
          <w:b/>
        </w:rPr>
        <w:t>ESCRIPCIÓN DE LA INVERSIÓN</w:t>
      </w:r>
    </w:p>
    <w:p w14:paraId="6E0FA7F8" w14:textId="34ACA8D3" w:rsidR="003D6C6F" w:rsidRPr="003C4153" w:rsidRDefault="002146B1"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Esta inversión pretende</w:t>
      </w:r>
      <w:r w:rsidR="003D6C6F" w:rsidRPr="003C4153">
        <w:rPr>
          <w:rFonts w:ascii="Arial" w:hAnsi="Arial" w:cs="Arial"/>
        </w:rPr>
        <w:t>:</w:t>
      </w:r>
    </w:p>
    <w:p w14:paraId="287591A9" w14:textId="77777777" w:rsidR="003D6C6F" w:rsidRPr="003C4153" w:rsidRDefault="003D6C6F" w:rsidP="003C4153">
      <w:pPr>
        <w:pStyle w:val="Sinespaciado"/>
        <w:numPr>
          <w:ilvl w:val="0"/>
          <w:numId w:val="3"/>
        </w:numPr>
        <w:tabs>
          <w:tab w:val="left" w:pos="567"/>
          <w:tab w:val="left" w:pos="1559"/>
        </w:tabs>
        <w:spacing w:before="120" w:after="120" w:line="360" w:lineRule="exact"/>
        <w:ind w:left="0" w:firstLine="1134"/>
        <w:rPr>
          <w:rFonts w:ascii="Arial" w:hAnsi="Arial" w:cs="Arial"/>
        </w:rPr>
      </w:pPr>
      <w:r w:rsidRPr="003C4153">
        <w:rPr>
          <w:rFonts w:ascii="Arial" w:hAnsi="Arial" w:cs="Arial"/>
        </w:rPr>
        <w:t>Ampliar la cobertura de las redes de acceso a la banda ancha ultrarrápida a las zonas que carecen de ella, con el objetivo de alcanzar el 100 % de la población.</w:t>
      </w:r>
    </w:p>
    <w:p w14:paraId="277AC587" w14:textId="4038D3AE" w:rsidR="003D6C6F" w:rsidRPr="003C4153" w:rsidRDefault="003D6C6F" w:rsidP="003C4153">
      <w:pPr>
        <w:pStyle w:val="Sinespaciado"/>
        <w:numPr>
          <w:ilvl w:val="0"/>
          <w:numId w:val="3"/>
        </w:numPr>
        <w:tabs>
          <w:tab w:val="left" w:pos="567"/>
          <w:tab w:val="left" w:pos="1559"/>
        </w:tabs>
        <w:spacing w:before="120" w:after="120" w:line="360" w:lineRule="exact"/>
        <w:ind w:left="0" w:firstLine="1134"/>
        <w:rPr>
          <w:rFonts w:ascii="Arial" w:hAnsi="Arial" w:cs="Arial"/>
        </w:rPr>
      </w:pPr>
      <w:r w:rsidRPr="003C4153">
        <w:rPr>
          <w:rFonts w:ascii="Arial" w:hAnsi="Arial" w:cs="Arial"/>
        </w:rPr>
        <w:t xml:space="preserve">Emprender acciones específicas para la extensión de la cobertura en los centros urbanos históricos con consideración de zona blanca. </w:t>
      </w:r>
    </w:p>
    <w:p w14:paraId="6907068E" w14:textId="77777777" w:rsidR="00890798" w:rsidRPr="003C4153" w:rsidRDefault="003D6C6F" w:rsidP="003C4153">
      <w:pPr>
        <w:pStyle w:val="Sinespaciado"/>
        <w:tabs>
          <w:tab w:val="left" w:pos="567"/>
          <w:tab w:val="left" w:pos="1559"/>
        </w:tabs>
        <w:spacing w:before="120" w:after="120" w:line="360" w:lineRule="exact"/>
        <w:ind w:firstLine="1134"/>
        <w:rPr>
          <w:rFonts w:ascii="Arial" w:hAnsi="Arial" w:cs="Arial"/>
        </w:rPr>
      </w:pPr>
      <w:r w:rsidRPr="003C4153">
        <w:rPr>
          <w:rFonts w:ascii="Arial" w:hAnsi="Arial" w:cs="Arial"/>
        </w:rPr>
        <w:t>La inversión se destinará a proporcionar conectividad de banda ancha ultrarrápida (de más de 100 Mbps) a aquellas zonas, principalmente rurales y cascos históricos, que actualmente no disponen de ella. A finales de 2021 se adoptará un plan de ejecución pormenorizado, y el 100 % del presupuesto se adjudicará antes de finales de 2023. El plan fijará asimismo los objetivos finales (en términos de cobertura adicional en unidades) que deben alcanzarse y garantizará la neutralidad tecnológica y el mantenimiento de los mecanismos de competencia en el mercado y el acceso de todos los operadores a la infraestructura desplegada. Las zonas de intervención quedarán definidas en dicho plan. El plan de ejecución también establecerá las medidas legales y reglamentarias necesarias, incluidas las que deben adoptarse para garantizar el cumplimiento de las normas pertinentes de la UE en materia de ayudas estatales. El objetivo es garantizar velocidades simétricas de 300 Mbps, actualizables a simétricas de 1 Gbps (gigabit por segundo) en áreas blancas y en áreas grises.</w:t>
      </w:r>
    </w:p>
    <w:p w14:paraId="5061391C" w14:textId="1959E343" w:rsidR="00DE5571" w:rsidRDefault="003D6C6F" w:rsidP="003C4153">
      <w:pPr>
        <w:tabs>
          <w:tab w:val="left" w:pos="567"/>
          <w:tab w:val="left" w:pos="1559"/>
        </w:tabs>
        <w:spacing w:before="120" w:after="120" w:line="360" w:lineRule="exact"/>
        <w:ind w:firstLine="1134"/>
        <w:rPr>
          <w:rFonts w:ascii="Arial" w:hAnsi="Arial" w:cs="Arial"/>
        </w:rPr>
      </w:pPr>
      <w:r w:rsidRPr="003C4153">
        <w:rPr>
          <w:rFonts w:ascii="Arial" w:hAnsi="Arial" w:cs="Arial"/>
        </w:rPr>
        <w:t>La implementación de la inversión estará terminada, a más tardar, el 31 de diciembre de 2025</w:t>
      </w:r>
      <w:r w:rsidR="001A45C4">
        <w:rPr>
          <w:rFonts w:ascii="Arial" w:hAnsi="Arial" w:cs="Arial"/>
        </w:rPr>
        <w:t>.</w:t>
      </w:r>
    </w:p>
    <w:p w14:paraId="28704C0C" w14:textId="77777777" w:rsidR="001A45C4" w:rsidRPr="003C4153" w:rsidRDefault="001A45C4" w:rsidP="003C4153">
      <w:pPr>
        <w:tabs>
          <w:tab w:val="left" w:pos="567"/>
          <w:tab w:val="left" w:pos="1559"/>
        </w:tabs>
        <w:spacing w:before="120" w:after="120" w:line="360" w:lineRule="exact"/>
        <w:ind w:firstLine="1134"/>
        <w:rPr>
          <w:rFonts w:ascii="Arial" w:hAnsi="Arial" w:cs="Arial"/>
        </w:rPr>
      </w:pPr>
    </w:p>
    <w:p w14:paraId="01CFCF13" w14:textId="00FEB080" w:rsidR="00BF4915" w:rsidRPr="003C4153" w:rsidRDefault="000975A3" w:rsidP="009A1AEF">
      <w:pPr>
        <w:pStyle w:val="Prrafodelista"/>
        <w:keepNext/>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3C4153">
        <w:rPr>
          <w:rFonts w:ascii="Arial" w:hAnsi="Arial" w:cs="Arial"/>
          <w:b/>
        </w:rPr>
        <w:lastRenderedPageBreak/>
        <w:t>C</w:t>
      </w:r>
      <w:r w:rsidR="00571E4C">
        <w:rPr>
          <w:rFonts w:ascii="Arial" w:hAnsi="Arial" w:cs="Arial"/>
          <w:b/>
        </w:rPr>
        <w:t>OSTE DE LA INVERSIÓN Y DISTRIBUCIÓN ANUALIZADA</w:t>
      </w:r>
    </w:p>
    <w:p w14:paraId="4BC696A6" w14:textId="223FE366" w:rsidR="005A4620" w:rsidRPr="009A1AEF" w:rsidRDefault="00AA3E42" w:rsidP="009A1AEF">
      <w:pPr>
        <w:pStyle w:val="Prrafodelista"/>
        <w:keepNext/>
        <w:tabs>
          <w:tab w:val="left" w:pos="567"/>
        </w:tabs>
        <w:spacing w:before="60" w:after="60" w:line="276" w:lineRule="auto"/>
        <w:ind w:left="0"/>
        <w:contextualSpacing w:val="0"/>
        <w:jc w:val="right"/>
        <w:rPr>
          <w:rFonts w:ascii="Arial" w:hAnsi="Arial" w:cs="Arial"/>
          <w:sz w:val="16"/>
          <w:szCs w:val="16"/>
        </w:rPr>
      </w:pPr>
      <w:r w:rsidRPr="009A1AEF">
        <w:rPr>
          <w:rFonts w:ascii="Arial" w:hAnsi="Arial" w:cs="Arial"/>
          <w:sz w:val="16"/>
          <w:szCs w:val="16"/>
        </w:rPr>
        <w:t>(En millones</w:t>
      </w:r>
      <w:r w:rsidR="005A4620" w:rsidRPr="009A1AEF">
        <w:rPr>
          <w:rFonts w:ascii="Arial" w:hAnsi="Arial" w:cs="Arial"/>
          <w:sz w:val="16"/>
          <w:szCs w:val="16"/>
        </w:rPr>
        <w:t xml:space="preserve"> de €</w:t>
      </w:r>
      <w:r w:rsidRPr="009A1AEF">
        <w:rPr>
          <w:rFonts w:ascii="Arial" w:hAnsi="Arial" w:cs="Arial"/>
          <w:sz w:val="16"/>
          <w:szCs w:val="16"/>
        </w:rPr>
        <w:t>)</w:t>
      </w:r>
    </w:p>
    <w:tbl>
      <w:tblPr>
        <w:tblStyle w:val="Tablaconcuadrcula"/>
        <w:tblW w:w="5000" w:type="pct"/>
        <w:tblLook w:val="0600" w:firstRow="0" w:lastRow="0" w:firstColumn="0" w:lastColumn="0" w:noHBand="1" w:noVBand="1"/>
      </w:tblPr>
      <w:tblGrid>
        <w:gridCol w:w="2455"/>
        <w:gridCol w:w="790"/>
        <w:gridCol w:w="790"/>
        <w:gridCol w:w="790"/>
        <w:gridCol w:w="792"/>
        <w:gridCol w:w="790"/>
        <w:gridCol w:w="790"/>
        <w:gridCol w:w="790"/>
        <w:gridCol w:w="790"/>
      </w:tblGrid>
      <w:tr w:rsidR="000975A3" w:rsidRPr="003C4153" w14:paraId="6858A51A" w14:textId="77777777" w:rsidTr="006E1D9C">
        <w:trPr>
          <w:trHeight w:val="283"/>
        </w:trPr>
        <w:tc>
          <w:tcPr>
            <w:tcW w:w="1399" w:type="pct"/>
          </w:tcPr>
          <w:p w14:paraId="061B36E9" w14:textId="0B8DA916" w:rsidR="000975A3" w:rsidRPr="009A1AEF" w:rsidRDefault="00CF27D4" w:rsidP="009A1AEF">
            <w:pPr>
              <w:pStyle w:val="Prrafodelista"/>
              <w:tabs>
                <w:tab w:val="left" w:pos="567"/>
              </w:tabs>
              <w:spacing w:before="60" w:after="60" w:line="360" w:lineRule="exact"/>
              <w:ind w:left="0"/>
              <w:contextualSpacing w:val="0"/>
              <w:jc w:val="left"/>
              <w:rPr>
                <w:rFonts w:ascii="Arial" w:hAnsi="Arial" w:cs="Arial"/>
                <w:b/>
                <w:sz w:val="18"/>
                <w:szCs w:val="16"/>
              </w:rPr>
            </w:pPr>
            <w:r w:rsidRPr="009A1AEF">
              <w:rPr>
                <w:rFonts w:ascii="Arial" w:hAnsi="Arial" w:cs="Arial"/>
                <w:b/>
                <w:sz w:val="18"/>
                <w:szCs w:val="16"/>
              </w:rPr>
              <w:t>Periodificación</w:t>
            </w:r>
          </w:p>
        </w:tc>
        <w:tc>
          <w:tcPr>
            <w:tcW w:w="450" w:type="pct"/>
          </w:tcPr>
          <w:p w14:paraId="5D1635D3" w14:textId="549C6CC9"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2020</w:t>
            </w:r>
          </w:p>
        </w:tc>
        <w:tc>
          <w:tcPr>
            <w:tcW w:w="450" w:type="pct"/>
          </w:tcPr>
          <w:p w14:paraId="381BCDCC" w14:textId="100632EA"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2021</w:t>
            </w:r>
          </w:p>
        </w:tc>
        <w:tc>
          <w:tcPr>
            <w:tcW w:w="450" w:type="pct"/>
          </w:tcPr>
          <w:p w14:paraId="1DB2E566" w14:textId="58DBF0F4"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2022</w:t>
            </w:r>
          </w:p>
        </w:tc>
        <w:tc>
          <w:tcPr>
            <w:tcW w:w="451" w:type="pct"/>
          </w:tcPr>
          <w:p w14:paraId="73174F2C" w14:textId="08B7B874"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2023</w:t>
            </w:r>
          </w:p>
        </w:tc>
        <w:tc>
          <w:tcPr>
            <w:tcW w:w="450" w:type="pct"/>
          </w:tcPr>
          <w:p w14:paraId="60453202" w14:textId="0B2BFEA1"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2024</w:t>
            </w:r>
          </w:p>
        </w:tc>
        <w:tc>
          <w:tcPr>
            <w:tcW w:w="450" w:type="pct"/>
          </w:tcPr>
          <w:p w14:paraId="599C6DA3" w14:textId="31D41AB7"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2025</w:t>
            </w:r>
          </w:p>
        </w:tc>
        <w:tc>
          <w:tcPr>
            <w:tcW w:w="450" w:type="pct"/>
          </w:tcPr>
          <w:p w14:paraId="6126EA2B" w14:textId="3111A91C"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2026</w:t>
            </w:r>
          </w:p>
        </w:tc>
        <w:tc>
          <w:tcPr>
            <w:tcW w:w="451" w:type="pct"/>
          </w:tcPr>
          <w:p w14:paraId="2CF2594D" w14:textId="0D916DB8" w:rsidR="000975A3" w:rsidRPr="009A1AEF" w:rsidRDefault="00CF27D4" w:rsidP="009A1AEF">
            <w:pPr>
              <w:pStyle w:val="Prrafodelista"/>
              <w:tabs>
                <w:tab w:val="left" w:pos="567"/>
              </w:tabs>
              <w:spacing w:before="60" w:after="60" w:line="360" w:lineRule="exact"/>
              <w:ind w:left="0"/>
              <w:contextualSpacing w:val="0"/>
              <w:jc w:val="center"/>
              <w:rPr>
                <w:rFonts w:ascii="Arial" w:hAnsi="Arial" w:cs="Arial"/>
                <w:b/>
                <w:sz w:val="18"/>
                <w:szCs w:val="16"/>
              </w:rPr>
            </w:pPr>
            <w:r w:rsidRPr="009A1AEF">
              <w:rPr>
                <w:rFonts w:ascii="Arial" w:hAnsi="Arial" w:cs="Arial"/>
                <w:b/>
                <w:sz w:val="18"/>
                <w:szCs w:val="16"/>
              </w:rPr>
              <w:t>Total</w:t>
            </w:r>
          </w:p>
        </w:tc>
      </w:tr>
      <w:tr w:rsidR="000975A3" w:rsidRPr="003C4153" w14:paraId="0148D7B1" w14:textId="77777777" w:rsidTr="006E1D9C">
        <w:tc>
          <w:tcPr>
            <w:tcW w:w="1399" w:type="pct"/>
          </w:tcPr>
          <w:p w14:paraId="2BC2D740" w14:textId="72A9FFBC" w:rsidR="000975A3" w:rsidRPr="009A1AEF" w:rsidRDefault="00CF27D4" w:rsidP="009A1AEF">
            <w:pPr>
              <w:pStyle w:val="Prrafodelista"/>
              <w:tabs>
                <w:tab w:val="left" w:pos="567"/>
              </w:tabs>
              <w:spacing w:before="60" w:line="360" w:lineRule="exact"/>
              <w:ind w:left="0"/>
              <w:contextualSpacing w:val="0"/>
              <w:jc w:val="left"/>
              <w:rPr>
                <w:rFonts w:ascii="Arial" w:hAnsi="Arial" w:cs="Arial"/>
                <w:b/>
                <w:sz w:val="18"/>
                <w:szCs w:val="16"/>
              </w:rPr>
            </w:pPr>
            <w:r w:rsidRPr="009A1AEF">
              <w:rPr>
                <w:rFonts w:ascii="Arial" w:hAnsi="Arial" w:cs="Arial"/>
                <w:b/>
                <w:sz w:val="18"/>
                <w:szCs w:val="16"/>
              </w:rPr>
              <w:t>Coste del Mecanismo</w:t>
            </w:r>
          </w:p>
        </w:tc>
        <w:tc>
          <w:tcPr>
            <w:tcW w:w="450" w:type="pct"/>
          </w:tcPr>
          <w:p w14:paraId="6CC86EF1" w14:textId="6AD7DE87" w:rsidR="000975A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0</w:t>
            </w:r>
          </w:p>
        </w:tc>
        <w:tc>
          <w:tcPr>
            <w:tcW w:w="450" w:type="pct"/>
          </w:tcPr>
          <w:p w14:paraId="6054F255" w14:textId="0FFEE326" w:rsidR="000975A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30</w:t>
            </w:r>
            <w:r w:rsidR="00084F8A" w:rsidRPr="009A1AEF">
              <w:rPr>
                <w:rFonts w:ascii="Arial" w:hAnsi="Arial" w:cs="Arial"/>
                <w:sz w:val="12"/>
                <w:szCs w:val="16"/>
              </w:rPr>
              <w:t>0</w:t>
            </w:r>
          </w:p>
        </w:tc>
        <w:tc>
          <w:tcPr>
            <w:tcW w:w="450" w:type="pct"/>
          </w:tcPr>
          <w:p w14:paraId="35E19E8A" w14:textId="7052B34B" w:rsidR="000975A3" w:rsidRPr="009A1AEF" w:rsidRDefault="00AA3E42"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256</w:t>
            </w:r>
          </w:p>
        </w:tc>
        <w:tc>
          <w:tcPr>
            <w:tcW w:w="451" w:type="pct"/>
          </w:tcPr>
          <w:p w14:paraId="2B8BF10C" w14:textId="19BEE767" w:rsidR="000975A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256</w:t>
            </w:r>
          </w:p>
        </w:tc>
        <w:tc>
          <w:tcPr>
            <w:tcW w:w="450" w:type="pct"/>
          </w:tcPr>
          <w:p w14:paraId="32AB15D4"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68712FE5"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594741C7"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1" w:type="pct"/>
          </w:tcPr>
          <w:p w14:paraId="1DB3441D" w14:textId="5012BEA8" w:rsidR="000975A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812</w:t>
            </w:r>
          </w:p>
        </w:tc>
      </w:tr>
      <w:tr w:rsidR="000975A3" w:rsidRPr="003C4153" w14:paraId="5359DC65" w14:textId="77777777" w:rsidTr="006E1D9C">
        <w:tc>
          <w:tcPr>
            <w:tcW w:w="1399" w:type="pct"/>
          </w:tcPr>
          <w:p w14:paraId="62875BE5" w14:textId="5D7648F9" w:rsidR="000975A3" w:rsidRPr="009A1AEF" w:rsidRDefault="00CF27D4" w:rsidP="009A1AEF">
            <w:pPr>
              <w:pStyle w:val="Prrafodelista"/>
              <w:tabs>
                <w:tab w:val="left" w:pos="567"/>
              </w:tabs>
              <w:spacing w:before="60" w:line="360" w:lineRule="exact"/>
              <w:ind w:left="0"/>
              <w:contextualSpacing w:val="0"/>
              <w:jc w:val="left"/>
              <w:rPr>
                <w:rFonts w:ascii="Arial" w:hAnsi="Arial" w:cs="Arial"/>
                <w:b/>
                <w:sz w:val="18"/>
                <w:szCs w:val="16"/>
              </w:rPr>
            </w:pPr>
            <w:r w:rsidRPr="009A1AEF">
              <w:rPr>
                <w:rFonts w:ascii="Arial" w:hAnsi="Arial" w:cs="Arial"/>
                <w:b/>
                <w:sz w:val="18"/>
                <w:szCs w:val="16"/>
              </w:rPr>
              <w:t>Otra financiación</w:t>
            </w:r>
          </w:p>
        </w:tc>
        <w:tc>
          <w:tcPr>
            <w:tcW w:w="450" w:type="pct"/>
          </w:tcPr>
          <w:p w14:paraId="7DDD3BAD"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2B475F33"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6C1BEB09"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1" w:type="pct"/>
          </w:tcPr>
          <w:p w14:paraId="0614AB5D"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61FEC242"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056F5604"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1B438A7B"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1" w:type="pct"/>
          </w:tcPr>
          <w:p w14:paraId="09245EEA" w14:textId="77777777" w:rsidR="000975A3" w:rsidRPr="009A1AEF" w:rsidRDefault="000975A3" w:rsidP="009A1AEF">
            <w:pPr>
              <w:pStyle w:val="Prrafodelista"/>
              <w:tabs>
                <w:tab w:val="left" w:pos="567"/>
              </w:tabs>
              <w:spacing w:before="60" w:line="360" w:lineRule="exact"/>
              <w:ind w:left="0"/>
              <w:contextualSpacing w:val="0"/>
              <w:jc w:val="right"/>
              <w:rPr>
                <w:rFonts w:ascii="Arial" w:hAnsi="Arial" w:cs="Arial"/>
                <w:sz w:val="12"/>
                <w:szCs w:val="16"/>
              </w:rPr>
            </w:pPr>
          </w:p>
        </w:tc>
      </w:tr>
      <w:tr w:rsidR="001A5A83" w:rsidRPr="003C4153" w14:paraId="7A02CE8A" w14:textId="77777777" w:rsidTr="006E1D9C">
        <w:tc>
          <w:tcPr>
            <w:tcW w:w="1399" w:type="pct"/>
          </w:tcPr>
          <w:p w14:paraId="39690108" w14:textId="1DDA5AB1" w:rsidR="001A5A83" w:rsidRPr="009A1AEF" w:rsidRDefault="001A5A83" w:rsidP="009A1AEF">
            <w:pPr>
              <w:pStyle w:val="Prrafodelista"/>
              <w:tabs>
                <w:tab w:val="left" w:pos="567"/>
              </w:tabs>
              <w:spacing w:before="60" w:line="360" w:lineRule="exact"/>
              <w:ind w:left="0"/>
              <w:contextualSpacing w:val="0"/>
              <w:jc w:val="left"/>
              <w:rPr>
                <w:rFonts w:ascii="Arial" w:hAnsi="Arial" w:cs="Arial"/>
                <w:b/>
                <w:sz w:val="18"/>
                <w:szCs w:val="16"/>
              </w:rPr>
            </w:pPr>
            <w:r w:rsidRPr="009A1AEF">
              <w:rPr>
                <w:rFonts w:ascii="Arial" w:hAnsi="Arial" w:cs="Arial"/>
                <w:b/>
                <w:sz w:val="18"/>
                <w:szCs w:val="16"/>
              </w:rPr>
              <w:t>Total</w:t>
            </w:r>
          </w:p>
        </w:tc>
        <w:tc>
          <w:tcPr>
            <w:tcW w:w="450" w:type="pct"/>
          </w:tcPr>
          <w:p w14:paraId="0C5970CB" w14:textId="662B2620"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0</w:t>
            </w:r>
          </w:p>
        </w:tc>
        <w:tc>
          <w:tcPr>
            <w:tcW w:w="450" w:type="pct"/>
          </w:tcPr>
          <w:p w14:paraId="5E48C9E7" w14:textId="405CD217"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300</w:t>
            </w:r>
          </w:p>
        </w:tc>
        <w:tc>
          <w:tcPr>
            <w:tcW w:w="450" w:type="pct"/>
          </w:tcPr>
          <w:p w14:paraId="29767890" w14:textId="7A88CCFB"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256</w:t>
            </w:r>
          </w:p>
        </w:tc>
        <w:tc>
          <w:tcPr>
            <w:tcW w:w="451" w:type="pct"/>
          </w:tcPr>
          <w:p w14:paraId="40FBF764" w14:textId="247E4238"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256</w:t>
            </w:r>
          </w:p>
        </w:tc>
        <w:tc>
          <w:tcPr>
            <w:tcW w:w="450" w:type="pct"/>
          </w:tcPr>
          <w:p w14:paraId="1D4E9152" w14:textId="77777777"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6A29B008" w14:textId="77777777"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0" w:type="pct"/>
          </w:tcPr>
          <w:p w14:paraId="5C531A6A" w14:textId="77777777"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p>
        </w:tc>
        <w:tc>
          <w:tcPr>
            <w:tcW w:w="451" w:type="pct"/>
          </w:tcPr>
          <w:p w14:paraId="7B2949D8" w14:textId="14F8A789" w:rsidR="001A5A83" w:rsidRPr="009A1AEF" w:rsidRDefault="001A5A83" w:rsidP="009A1AEF">
            <w:pPr>
              <w:pStyle w:val="Prrafodelista"/>
              <w:tabs>
                <w:tab w:val="left" w:pos="567"/>
              </w:tabs>
              <w:spacing w:before="60" w:line="360" w:lineRule="exact"/>
              <w:ind w:left="0"/>
              <w:contextualSpacing w:val="0"/>
              <w:jc w:val="right"/>
              <w:rPr>
                <w:rFonts w:ascii="Arial" w:hAnsi="Arial" w:cs="Arial"/>
                <w:sz w:val="12"/>
                <w:szCs w:val="16"/>
              </w:rPr>
            </w:pPr>
            <w:r w:rsidRPr="009A1AEF">
              <w:rPr>
                <w:rFonts w:ascii="Arial" w:hAnsi="Arial" w:cs="Arial"/>
                <w:sz w:val="12"/>
                <w:szCs w:val="16"/>
              </w:rPr>
              <w:t>812</w:t>
            </w:r>
          </w:p>
        </w:tc>
      </w:tr>
    </w:tbl>
    <w:p w14:paraId="5682C3B1" w14:textId="1766CDA0" w:rsidR="002D70B6" w:rsidRPr="003C4153" w:rsidRDefault="00CF27D4" w:rsidP="003C4153">
      <w:pPr>
        <w:pStyle w:val="Prrafodelista"/>
        <w:numPr>
          <w:ilvl w:val="0"/>
          <w:numId w:val="1"/>
        </w:numPr>
        <w:tabs>
          <w:tab w:val="left" w:pos="567"/>
        </w:tabs>
        <w:spacing w:before="360" w:after="360" w:line="276" w:lineRule="auto"/>
        <w:ind w:left="0" w:firstLine="0"/>
        <w:contextualSpacing w:val="0"/>
        <w:jc w:val="left"/>
        <w:rPr>
          <w:rFonts w:ascii="Arial" w:hAnsi="Arial" w:cs="Arial"/>
          <w:b/>
        </w:rPr>
      </w:pPr>
      <w:r w:rsidRPr="003C4153">
        <w:rPr>
          <w:rFonts w:ascii="Arial" w:hAnsi="Arial" w:cs="Arial"/>
          <w:b/>
        </w:rPr>
        <w:t>H</w:t>
      </w:r>
      <w:r w:rsidR="00571E4C">
        <w:rPr>
          <w:rFonts w:ascii="Arial" w:hAnsi="Arial" w:cs="Arial"/>
          <w:b/>
        </w:rPr>
        <w:t>ITOS Y OBJETIVOS DE LA INVERSIÓN</w:t>
      </w:r>
    </w:p>
    <w:tbl>
      <w:tblPr>
        <w:tblW w:w="5000" w:type="pct"/>
        <w:tblCellMar>
          <w:left w:w="70" w:type="dxa"/>
          <w:right w:w="70" w:type="dxa"/>
        </w:tblCellMar>
        <w:tblLook w:val="04A0" w:firstRow="1" w:lastRow="0" w:firstColumn="1" w:lastColumn="0" w:noHBand="0" w:noVBand="1"/>
      </w:tblPr>
      <w:tblGrid>
        <w:gridCol w:w="390"/>
        <w:gridCol w:w="692"/>
        <w:gridCol w:w="755"/>
        <w:gridCol w:w="1125"/>
        <w:gridCol w:w="1039"/>
        <w:gridCol w:w="439"/>
        <w:gridCol w:w="439"/>
        <w:gridCol w:w="439"/>
        <w:gridCol w:w="342"/>
        <w:gridCol w:w="479"/>
        <w:gridCol w:w="2638"/>
      </w:tblGrid>
      <w:tr w:rsidR="009A1AEF" w14:paraId="1CAAC415" w14:textId="77777777" w:rsidTr="006E1D9C">
        <w:trPr>
          <w:trHeight w:val="300"/>
        </w:trPr>
        <w:tc>
          <w:tcPr>
            <w:tcW w:w="2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634EF"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Nº</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983CC"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Medida </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2142E" w14:textId="77777777" w:rsidR="007D2D78" w:rsidRDefault="007D2D78" w:rsidP="009A1AEF">
            <w:pPr>
              <w:spacing w:before="60" w:after="60"/>
              <w:jc w:val="left"/>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Hito/ objetivo </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D1834"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Nombre </w:t>
            </w:r>
          </w:p>
        </w:tc>
        <w:tc>
          <w:tcPr>
            <w:tcW w:w="5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66785"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Indicadores cualitativos para los hitos </w:t>
            </w:r>
          </w:p>
        </w:tc>
        <w:tc>
          <w:tcPr>
            <w:tcW w:w="750" w:type="pct"/>
            <w:gridSpan w:val="3"/>
            <w:tcBorders>
              <w:top w:val="single" w:sz="4" w:space="0" w:color="auto"/>
              <w:left w:val="nil"/>
              <w:bottom w:val="single" w:sz="4" w:space="0" w:color="auto"/>
              <w:right w:val="single" w:sz="4" w:space="0" w:color="auto"/>
            </w:tcBorders>
            <w:shd w:val="clear" w:color="auto" w:fill="auto"/>
            <w:vAlign w:val="center"/>
            <w:hideMark/>
          </w:tcPr>
          <w:p w14:paraId="002E3110"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Indicadores cuantitativos para los objetivos </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071CDAD4"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Tiempo </w:t>
            </w:r>
          </w:p>
        </w:tc>
        <w:tc>
          <w:tcPr>
            <w:tcW w:w="1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03AA57" w14:textId="77777777" w:rsidR="007D2D78" w:rsidRDefault="007D2D78" w:rsidP="009A1AEF">
            <w:pPr>
              <w:spacing w:before="60" w:after="60"/>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Descripción de cada hito y objetivo </w:t>
            </w:r>
          </w:p>
        </w:tc>
      </w:tr>
      <w:tr w:rsidR="005B18C9" w14:paraId="056BB64D" w14:textId="77777777" w:rsidTr="006E1D9C">
        <w:trPr>
          <w:cantSplit/>
          <w:trHeight w:val="1170"/>
        </w:trPr>
        <w:tc>
          <w:tcPr>
            <w:tcW w:w="22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312754" w14:textId="77777777" w:rsidR="007D2D78" w:rsidRDefault="007D2D78">
            <w:pPr>
              <w:spacing w:line="256" w:lineRule="auto"/>
              <w:jc w:val="left"/>
              <w:rPr>
                <w:rFonts w:ascii="Arial" w:eastAsia="Times New Roman" w:hAnsi="Arial" w:cs="Arial"/>
                <w:b/>
                <w:bCs/>
                <w:color w:val="000000"/>
                <w:sz w:val="16"/>
                <w:szCs w:val="16"/>
                <w:lang w:eastAsia="es-ES"/>
              </w:rPr>
            </w:pPr>
          </w:p>
        </w:tc>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BEA938" w14:textId="77777777" w:rsidR="007D2D78" w:rsidRDefault="007D2D78">
            <w:pPr>
              <w:spacing w:line="256" w:lineRule="auto"/>
              <w:jc w:val="left"/>
              <w:rPr>
                <w:rFonts w:ascii="Arial" w:eastAsia="Times New Roman" w:hAnsi="Arial" w:cs="Arial"/>
                <w:b/>
                <w:bCs/>
                <w:color w:val="000000"/>
                <w:sz w:val="16"/>
                <w:szCs w:val="16"/>
                <w:lang w:eastAsia="es-ES"/>
              </w:rPr>
            </w:pPr>
          </w:p>
        </w:tc>
        <w:tc>
          <w:tcPr>
            <w:tcW w:w="4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6E8BCF" w14:textId="77777777" w:rsidR="007D2D78" w:rsidRDefault="007D2D78">
            <w:pPr>
              <w:spacing w:line="256" w:lineRule="auto"/>
              <w:jc w:val="left"/>
              <w:rPr>
                <w:rFonts w:ascii="Arial" w:eastAsia="Times New Roman" w:hAnsi="Arial" w:cs="Arial"/>
                <w:b/>
                <w:bCs/>
                <w:color w:val="000000"/>
                <w:sz w:val="16"/>
                <w:szCs w:val="16"/>
                <w:lang w:eastAsia="es-ES"/>
              </w:rPr>
            </w:pPr>
          </w:p>
        </w:tc>
        <w:tc>
          <w:tcPr>
            <w:tcW w:w="6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F63C19" w14:textId="77777777" w:rsidR="007D2D78" w:rsidRDefault="007D2D78">
            <w:pPr>
              <w:spacing w:line="256" w:lineRule="auto"/>
              <w:jc w:val="left"/>
              <w:rPr>
                <w:rFonts w:ascii="Arial" w:eastAsia="Times New Roman" w:hAnsi="Arial" w:cs="Arial"/>
                <w:b/>
                <w:bCs/>
                <w:color w:val="000000"/>
                <w:sz w:val="16"/>
                <w:szCs w:val="16"/>
                <w:lang w:eastAsia="es-ES"/>
              </w:rPr>
            </w:pPr>
          </w:p>
        </w:tc>
        <w:tc>
          <w:tcPr>
            <w:tcW w:w="5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6C51E5" w14:textId="77777777" w:rsidR="007D2D78" w:rsidRDefault="007D2D78">
            <w:pPr>
              <w:spacing w:line="256" w:lineRule="auto"/>
              <w:jc w:val="left"/>
              <w:rPr>
                <w:rFonts w:ascii="Arial" w:eastAsia="Times New Roman" w:hAnsi="Arial" w:cs="Arial"/>
                <w:b/>
                <w:bCs/>
                <w:color w:val="000000"/>
                <w:sz w:val="16"/>
                <w:szCs w:val="16"/>
                <w:lang w:eastAsia="es-ES"/>
              </w:rPr>
            </w:pP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558E6441" w14:textId="77777777" w:rsidR="007D2D78" w:rsidRDefault="007D2D78" w:rsidP="009A1AEF">
            <w:pPr>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Unidad </w:t>
            </w: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52A8F5F1" w14:textId="77777777" w:rsidR="007D2D78" w:rsidRDefault="007D2D78" w:rsidP="009A1AEF">
            <w:pPr>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Valor de referencia </w:t>
            </w: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36F000B5" w14:textId="77777777" w:rsidR="007D2D78" w:rsidRDefault="007D2D78" w:rsidP="009A1AEF">
            <w:pPr>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Meta </w:t>
            </w:r>
          </w:p>
        </w:tc>
        <w:tc>
          <w:tcPr>
            <w:tcW w:w="195" w:type="pct"/>
            <w:tcBorders>
              <w:top w:val="nil"/>
              <w:left w:val="nil"/>
              <w:bottom w:val="single" w:sz="4" w:space="0" w:color="auto"/>
              <w:right w:val="single" w:sz="4" w:space="0" w:color="auto"/>
            </w:tcBorders>
            <w:shd w:val="clear" w:color="auto" w:fill="auto"/>
            <w:textDirection w:val="btLr"/>
            <w:vAlign w:val="center"/>
            <w:hideMark/>
          </w:tcPr>
          <w:p w14:paraId="3057F7A5" w14:textId="77777777" w:rsidR="007D2D78" w:rsidRDefault="007D2D78" w:rsidP="009A1AEF">
            <w:pPr>
              <w:ind w:left="113" w:right="113"/>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Tr</w:t>
            </w:r>
          </w:p>
        </w:tc>
        <w:tc>
          <w:tcPr>
            <w:tcW w:w="273" w:type="pct"/>
            <w:tcBorders>
              <w:top w:val="nil"/>
              <w:left w:val="nil"/>
              <w:bottom w:val="single" w:sz="4" w:space="0" w:color="auto"/>
              <w:right w:val="single" w:sz="4" w:space="0" w:color="auto"/>
            </w:tcBorders>
            <w:shd w:val="clear" w:color="auto" w:fill="auto"/>
            <w:textDirection w:val="btLr"/>
            <w:vAlign w:val="center"/>
            <w:hideMark/>
          </w:tcPr>
          <w:p w14:paraId="39C45141" w14:textId="77777777" w:rsidR="007D2D78" w:rsidRDefault="007D2D78" w:rsidP="009A1AEF">
            <w:pPr>
              <w:ind w:left="113" w:right="113"/>
              <w:jc w:val="center"/>
              <w:rPr>
                <w:rFonts w:ascii="Arial" w:eastAsia="Times New Roman" w:hAnsi="Arial" w:cs="Arial"/>
                <w:b/>
                <w:bCs/>
                <w:color w:val="000000"/>
                <w:sz w:val="16"/>
                <w:szCs w:val="16"/>
                <w:lang w:eastAsia="es-ES"/>
              </w:rPr>
            </w:pPr>
            <w:r>
              <w:rPr>
                <w:rFonts w:ascii="Arial" w:eastAsia="Times New Roman" w:hAnsi="Arial" w:cs="Arial"/>
                <w:b/>
                <w:bCs/>
                <w:color w:val="000000"/>
                <w:sz w:val="16"/>
                <w:szCs w:val="16"/>
                <w:lang w:eastAsia="es-ES"/>
              </w:rPr>
              <w:t xml:space="preserve">Año </w:t>
            </w:r>
          </w:p>
        </w:tc>
        <w:tc>
          <w:tcPr>
            <w:tcW w:w="15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6DFC10" w14:textId="77777777" w:rsidR="007D2D78" w:rsidRDefault="007D2D78">
            <w:pPr>
              <w:spacing w:line="256" w:lineRule="auto"/>
              <w:jc w:val="left"/>
              <w:rPr>
                <w:rFonts w:ascii="Arial" w:eastAsia="Times New Roman" w:hAnsi="Arial" w:cs="Arial"/>
                <w:b/>
                <w:bCs/>
                <w:color w:val="000000"/>
                <w:sz w:val="16"/>
                <w:szCs w:val="16"/>
                <w:lang w:eastAsia="es-ES"/>
              </w:rPr>
            </w:pPr>
          </w:p>
        </w:tc>
      </w:tr>
      <w:tr w:rsidR="005B18C9" w:rsidRPr="009A1AEF" w14:paraId="141DD14D" w14:textId="77777777" w:rsidTr="006E1D9C">
        <w:trPr>
          <w:trHeight w:val="907"/>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103D5C33" w14:textId="0FDAA324" w:rsidR="007D2D78" w:rsidRPr="009A1AEF" w:rsidRDefault="007D2D78" w:rsidP="009A1AEF">
            <w:pPr>
              <w:pStyle w:val="Default"/>
              <w:jc w:val="center"/>
              <w:rPr>
                <w:rFonts w:ascii="Arial" w:eastAsia="Times New Roman" w:hAnsi="Arial" w:cs="Arial"/>
                <w:sz w:val="12"/>
                <w:szCs w:val="16"/>
                <w:lang w:eastAsia="es-ES"/>
              </w:rPr>
            </w:pPr>
            <w:r w:rsidRPr="009A1AEF">
              <w:rPr>
                <w:rFonts w:ascii="Arial" w:hAnsi="Arial" w:cs="Arial"/>
                <w:sz w:val="12"/>
                <w:szCs w:val="18"/>
              </w:rPr>
              <w:t>236</w:t>
            </w:r>
          </w:p>
        </w:tc>
        <w:tc>
          <w:tcPr>
            <w:tcW w:w="394" w:type="pct"/>
            <w:tcBorders>
              <w:top w:val="single" w:sz="4" w:space="0" w:color="auto"/>
              <w:left w:val="nil"/>
              <w:bottom w:val="single" w:sz="4" w:space="0" w:color="auto"/>
              <w:right w:val="single" w:sz="4" w:space="0" w:color="auto"/>
            </w:tcBorders>
            <w:shd w:val="clear" w:color="auto" w:fill="auto"/>
            <w:vAlign w:val="center"/>
          </w:tcPr>
          <w:p w14:paraId="1D06DB29" w14:textId="12FB04CA" w:rsidR="007D2D78" w:rsidRPr="009A1AEF" w:rsidRDefault="007D2D78" w:rsidP="009A1AEF">
            <w:pPr>
              <w:pStyle w:val="Default"/>
              <w:jc w:val="center"/>
              <w:rPr>
                <w:rFonts w:ascii="Arial" w:eastAsia="Times New Roman" w:hAnsi="Arial" w:cs="Arial"/>
                <w:sz w:val="12"/>
                <w:szCs w:val="16"/>
                <w:lang w:eastAsia="es-ES"/>
              </w:rPr>
            </w:pPr>
            <w:r w:rsidRPr="009A1AEF">
              <w:rPr>
                <w:rFonts w:ascii="Arial" w:hAnsi="Arial" w:cs="Arial"/>
                <w:sz w:val="12"/>
                <w:szCs w:val="18"/>
              </w:rPr>
              <w:t>C15.I1</w:t>
            </w:r>
          </w:p>
        </w:tc>
        <w:tc>
          <w:tcPr>
            <w:tcW w:w="430" w:type="pct"/>
            <w:tcBorders>
              <w:top w:val="single" w:sz="4" w:space="0" w:color="auto"/>
              <w:left w:val="nil"/>
              <w:bottom w:val="single" w:sz="4" w:space="0" w:color="auto"/>
              <w:right w:val="single" w:sz="4" w:space="0" w:color="auto"/>
            </w:tcBorders>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430"/>
            </w:tblGrid>
            <w:tr w:rsidR="007D2D78" w:rsidRPr="009A1AEF" w14:paraId="593FC798" w14:textId="77777777">
              <w:trPr>
                <w:trHeight w:val="222"/>
              </w:trPr>
              <w:tc>
                <w:tcPr>
                  <w:tcW w:w="0" w:type="auto"/>
                </w:tcPr>
                <w:p w14:paraId="2F7F93AC" w14:textId="77777777" w:rsidR="007D2D78" w:rsidRPr="009A1AEF" w:rsidRDefault="007D2D78" w:rsidP="007D2D78">
                  <w:pPr>
                    <w:autoSpaceDE w:val="0"/>
                    <w:autoSpaceDN w:val="0"/>
                    <w:adjustRightInd w:val="0"/>
                    <w:jc w:val="left"/>
                    <w:rPr>
                      <w:rFonts w:ascii="Arial" w:eastAsiaTheme="minorEastAsia" w:hAnsi="Arial" w:cs="Arial"/>
                      <w:color w:val="000000"/>
                      <w:sz w:val="12"/>
                      <w:szCs w:val="18"/>
                      <w:lang w:eastAsia="zh-CN"/>
                    </w:rPr>
                  </w:pPr>
                  <w:r w:rsidRPr="009A1AEF">
                    <w:rPr>
                      <w:rFonts w:ascii="Arial" w:eastAsiaTheme="minorEastAsia" w:hAnsi="Arial" w:cs="Arial"/>
                      <w:color w:val="000000"/>
                      <w:sz w:val="12"/>
                      <w:szCs w:val="18"/>
                      <w:lang w:eastAsia="zh-CN"/>
                    </w:rPr>
                    <w:t xml:space="preserve">Hito </w:t>
                  </w:r>
                </w:p>
              </w:tc>
            </w:tr>
          </w:tbl>
          <w:p w14:paraId="2B126413" w14:textId="0CFAD82D" w:rsidR="007D2D78" w:rsidRPr="009A1AEF" w:rsidRDefault="007D2D78">
            <w:pPr>
              <w:spacing w:before="60" w:line="256" w:lineRule="auto"/>
              <w:jc w:val="left"/>
              <w:rPr>
                <w:rFonts w:ascii="Arial" w:eastAsia="Times New Roman" w:hAnsi="Arial" w:cs="Arial"/>
                <w:color w:val="000000"/>
                <w:sz w:val="12"/>
                <w:szCs w:val="16"/>
                <w:lang w:eastAsia="es-ES"/>
              </w:rPr>
            </w:pPr>
          </w:p>
        </w:tc>
        <w:tc>
          <w:tcPr>
            <w:tcW w:w="641" w:type="pct"/>
            <w:tcBorders>
              <w:top w:val="single" w:sz="4" w:space="0" w:color="auto"/>
              <w:left w:val="nil"/>
              <w:bottom w:val="single" w:sz="4" w:space="0" w:color="auto"/>
              <w:right w:val="single" w:sz="4" w:space="0" w:color="auto"/>
            </w:tcBorders>
            <w:shd w:val="clear" w:color="auto" w:fill="auto"/>
            <w:vAlign w:val="center"/>
          </w:tcPr>
          <w:p w14:paraId="7B95FEDF" w14:textId="614CAE51" w:rsidR="007D2D78" w:rsidRPr="009A1AEF" w:rsidRDefault="007D2D78" w:rsidP="009A1AEF">
            <w:pPr>
              <w:autoSpaceDE w:val="0"/>
              <w:autoSpaceDN w:val="0"/>
              <w:adjustRightInd w:val="0"/>
              <w:jc w:val="left"/>
              <w:rPr>
                <w:rFonts w:ascii="Arial" w:eastAsia="Times New Roman" w:hAnsi="Arial" w:cs="Arial"/>
                <w:color w:val="000000"/>
                <w:sz w:val="12"/>
                <w:szCs w:val="16"/>
                <w:lang w:eastAsia="es-ES"/>
              </w:rPr>
            </w:pPr>
            <w:r w:rsidRPr="009A1AEF">
              <w:rPr>
                <w:rFonts w:ascii="Arial" w:eastAsiaTheme="minorEastAsia" w:hAnsi="Arial" w:cs="Arial"/>
                <w:color w:val="000000"/>
                <w:sz w:val="12"/>
                <w:szCs w:val="18"/>
                <w:lang w:eastAsia="zh-CN"/>
              </w:rPr>
              <w:t>Extensión de la banda ancha ultrarrápida: adjudicación</w:t>
            </w:r>
          </w:p>
        </w:tc>
        <w:tc>
          <w:tcPr>
            <w:tcW w:w="592" w:type="pct"/>
            <w:tcBorders>
              <w:top w:val="single" w:sz="4" w:space="0" w:color="auto"/>
              <w:left w:val="nil"/>
              <w:bottom w:val="single" w:sz="4" w:space="0" w:color="auto"/>
              <w:right w:val="single" w:sz="4" w:space="0" w:color="auto"/>
            </w:tcBorders>
            <w:shd w:val="clear" w:color="auto" w:fill="auto"/>
            <w:vAlign w:val="center"/>
          </w:tcPr>
          <w:p w14:paraId="445FA646" w14:textId="7EE1ACA9" w:rsidR="007D2D78" w:rsidRPr="009A1AEF" w:rsidRDefault="005B18C9" w:rsidP="009A1AEF">
            <w:pPr>
              <w:pStyle w:val="Default"/>
              <w:jc w:val="both"/>
              <w:rPr>
                <w:rFonts w:ascii="Arial" w:eastAsia="Times New Roman" w:hAnsi="Arial" w:cs="Arial"/>
                <w:sz w:val="12"/>
                <w:szCs w:val="16"/>
                <w:lang w:eastAsia="es-ES"/>
              </w:rPr>
            </w:pPr>
            <w:r w:rsidRPr="009A1AEF">
              <w:rPr>
                <w:rFonts w:ascii="Arial" w:hAnsi="Arial" w:cs="Arial"/>
                <w:sz w:val="12"/>
                <w:szCs w:val="18"/>
              </w:rPr>
              <w:t xml:space="preserve">Adjudicación de proyectos </w:t>
            </w:r>
          </w:p>
        </w:tc>
        <w:tc>
          <w:tcPr>
            <w:tcW w:w="250" w:type="pct"/>
            <w:tcBorders>
              <w:top w:val="single" w:sz="4" w:space="0" w:color="auto"/>
              <w:left w:val="nil"/>
              <w:bottom w:val="single" w:sz="4" w:space="0" w:color="auto"/>
              <w:right w:val="single" w:sz="4" w:space="0" w:color="auto"/>
            </w:tcBorders>
            <w:shd w:val="clear" w:color="auto" w:fill="auto"/>
            <w:vAlign w:val="center"/>
          </w:tcPr>
          <w:p w14:paraId="247AAF9C" w14:textId="7F787D7C" w:rsidR="007D2D78" w:rsidRPr="009A1AEF" w:rsidRDefault="007D2D78">
            <w:pPr>
              <w:spacing w:before="60" w:line="256" w:lineRule="auto"/>
              <w:jc w:val="center"/>
              <w:rPr>
                <w:rFonts w:ascii="Arial" w:eastAsia="Times New Roman" w:hAnsi="Arial" w:cs="Arial"/>
                <w:color w:val="000000"/>
                <w:sz w:val="12"/>
                <w:szCs w:val="16"/>
                <w:lang w:eastAsia="es-ES"/>
              </w:rPr>
            </w:pPr>
          </w:p>
        </w:tc>
        <w:tc>
          <w:tcPr>
            <w:tcW w:w="250" w:type="pct"/>
            <w:tcBorders>
              <w:top w:val="single" w:sz="4" w:space="0" w:color="auto"/>
              <w:left w:val="nil"/>
              <w:bottom w:val="single" w:sz="4" w:space="0" w:color="auto"/>
              <w:right w:val="single" w:sz="4" w:space="0" w:color="auto"/>
            </w:tcBorders>
            <w:shd w:val="clear" w:color="auto" w:fill="auto"/>
            <w:vAlign w:val="center"/>
          </w:tcPr>
          <w:p w14:paraId="11AFC7E5" w14:textId="2C8EDB1C" w:rsidR="007D2D78" w:rsidRPr="009A1AEF" w:rsidRDefault="007D2D78">
            <w:pPr>
              <w:spacing w:before="60" w:line="256" w:lineRule="auto"/>
              <w:jc w:val="right"/>
              <w:rPr>
                <w:rFonts w:ascii="Arial" w:eastAsia="Times New Roman" w:hAnsi="Arial" w:cs="Arial"/>
                <w:color w:val="000000"/>
                <w:sz w:val="12"/>
                <w:szCs w:val="16"/>
                <w:lang w:eastAsia="es-ES"/>
              </w:rPr>
            </w:pPr>
          </w:p>
        </w:tc>
        <w:tc>
          <w:tcPr>
            <w:tcW w:w="250" w:type="pct"/>
            <w:tcBorders>
              <w:top w:val="single" w:sz="4" w:space="0" w:color="auto"/>
              <w:left w:val="nil"/>
              <w:bottom w:val="single" w:sz="4" w:space="0" w:color="auto"/>
              <w:right w:val="single" w:sz="4" w:space="0" w:color="auto"/>
            </w:tcBorders>
            <w:shd w:val="clear" w:color="auto" w:fill="auto"/>
            <w:vAlign w:val="center"/>
          </w:tcPr>
          <w:p w14:paraId="1F9455F7" w14:textId="53778DFC" w:rsidR="007D2D78" w:rsidRPr="009A1AEF" w:rsidRDefault="007D2D78">
            <w:pPr>
              <w:spacing w:before="60" w:line="256" w:lineRule="auto"/>
              <w:jc w:val="right"/>
              <w:rPr>
                <w:rFonts w:ascii="Arial" w:eastAsia="Times New Roman" w:hAnsi="Arial" w:cs="Arial"/>
                <w:color w:val="000000"/>
                <w:sz w:val="12"/>
                <w:szCs w:val="16"/>
                <w:lang w:eastAsia="es-ES"/>
              </w:rPr>
            </w:pPr>
          </w:p>
        </w:tc>
        <w:tc>
          <w:tcPr>
            <w:tcW w:w="195" w:type="pct"/>
            <w:tcBorders>
              <w:top w:val="single" w:sz="4" w:space="0" w:color="auto"/>
              <w:left w:val="nil"/>
              <w:bottom w:val="single" w:sz="4" w:space="0" w:color="auto"/>
              <w:right w:val="single" w:sz="4" w:space="0" w:color="auto"/>
            </w:tcBorders>
            <w:shd w:val="clear" w:color="auto" w:fill="auto"/>
            <w:vAlign w:val="center"/>
          </w:tcPr>
          <w:p w14:paraId="18B299EF" w14:textId="5BC826E7" w:rsidR="007D2D78" w:rsidRPr="009A1AEF" w:rsidRDefault="005B18C9">
            <w:pPr>
              <w:spacing w:before="60" w:line="256" w:lineRule="auto"/>
              <w:jc w:val="left"/>
              <w:rPr>
                <w:rFonts w:ascii="Arial" w:eastAsia="Times New Roman" w:hAnsi="Arial" w:cs="Arial"/>
                <w:color w:val="000000"/>
                <w:sz w:val="12"/>
                <w:szCs w:val="16"/>
                <w:lang w:eastAsia="es-ES"/>
              </w:rPr>
            </w:pPr>
            <w:r w:rsidRPr="009A1AEF">
              <w:rPr>
                <w:rFonts w:ascii="Arial" w:eastAsia="Times New Roman" w:hAnsi="Arial" w:cs="Arial"/>
                <w:color w:val="000000"/>
                <w:sz w:val="12"/>
                <w:szCs w:val="16"/>
                <w:lang w:eastAsia="es-ES"/>
              </w:rPr>
              <w:t>T3</w:t>
            </w:r>
          </w:p>
        </w:tc>
        <w:tc>
          <w:tcPr>
            <w:tcW w:w="273" w:type="pct"/>
            <w:tcBorders>
              <w:top w:val="single" w:sz="4" w:space="0" w:color="auto"/>
              <w:left w:val="nil"/>
              <w:bottom w:val="single" w:sz="4" w:space="0" w:color="auto"/>
              <w:right w:val="single" w:sz="4" w:space="0" w:color="auto"/>
            </w:tcBorders>
            <w:shd w:val="clear" w:color="auto" w:fill="auto"/>
            <w:vAlign w:val="center"/>
          </w:tcPr>
          <w:p w14:paraId="16C817F4" w14:textId="43ECE7DF" w:rsidR="007D2D78" w:rsidRPr="009A1AEF" w:rsidRDefault="005B18C9">
            <w:pPr>
              <w:spacing w:before="60" w:line="256" w:lineRule="auto"/>
              <w:jc w:val="right"/>
              <w:rPr>
                <w:rFonts w:ascii="Arial" w:eastAsia="Times New Roman" w:hAnsi="Arial" w:cs="Arial"/>
                <w:color w:val="000000"/>
                <w:sz w:val="12"/>
                <w:szCs w:val="16"/>
                <w:lang w:eastAsia="es-ES"/>
              </w:rPr>
            </w:pPr>
            <w:r w:rsidRPr="009A1AEF">
              <w:rPr>
                <w:rFonts w:ascii="Arial" w:eastAsia="Times New Roman" w:hAnsi="Arial" w:cs="Arial"/>
                <w:color w:val="000000"/>
                <w:sz w:val="12"/>
                <w:szCs w:val="16"/>
                <w:lang w:eastAsia="es-ES"/>
              </w:rPr>
              <w:t>20023</w:t>
            </w:r>
          </w:p>
        </w:tc>
        <w:tc>
          <w:tcPr>
            <w:tcW w:w="1503" w:type="pct"/>
            <w:tcBorders>
              <w:top w:val="single" w:sz="4" w:space="0" w:color="auto"/>
              <w:left w:val="nil"/>
              <w:bottom w:val="single" w:sz="4" w:space="0" w:color="auto"/>
              <w:right w:val="single" w:sz="4" w:space="0" w:color="auto"/>
            </w:tcBorders>
            <w:shd w:val="clear" w:color="auto" w:fill="auto"/>
            <w:vAlign w:val="center"/>
          </w:tcPr>
          <w:p w14:paraId="154BB2FA" w14:textId="32A9D4FE" w:rsidR="005B18C9" w:rsidRPr="009A1AEF" w:rsidRDefault="005B18C9" w:rsidP="009A1AEF">
            <w:pPr>
              <w:spacing w:before="60" w:line="256" w:lineRule="auto"/>
              <w:jc w:val="left"/>
              <w:rPr>
                <w:rFonts w:ascii="Arial" w:eastAsia="Times New Roman" w:hAnsi="Arial" w:cs="Arial"/>
                <w:color w:val="000000"/>
                <w:sz w:val="12"/>
                <w:szCs w:val="16"/>
                <w:lang w:eastAsia="es-ES"/>
              </w:rPr>
            </w:pPr>
            <w:r w:rsidRPr="009A1AEF">
              <w:rPr>
                <w:rFonts w:ascii="Arial" w:eastAsia="Times New Roman" w:hAnsi="Arial" w:cs="Arial"/>
                <w:color w:val="000000"/>
                <w:sz w:val="12"/>
                <w:szCs w:val="16"/>
                <w:lang w:eastAsia="es-ES"/>
              </w:rPr>
              <w:t>Adjudicación de todos los contratos y subvenciones (presupuesto total de 812 000 000 EUR) y transferencia de fondos para ejecutar acciones destinadas a proporcionar conectividad ultrarrápida de banda ancha en áreas blancas y grises con velocidades simétricas de 300 Mbps, actualizables a simétricas de 1 Gbps, excepto en zonas rurales remotas, que para lograr cobertura necesitan proyectos específicos, en las que se garantizarían al menos 100 Mbps.</w:t>
            </w:r>
          </w:p>
        </w:tc>
      </w:tr>
      <w:tr w:rsidR="005B18C9" w:rsidRPr="009A1AEF" w14:paraId="31D2B201" w14:textId="77777777" w:rsidTr="006E1D9C">
        <w:trPr>
          <w:trHeight w:val="907"/>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125E1EA2" w14:textId="550D85EF" w:rsidR="005B18C9" w:rsidRPr="009A1AEF" w:rsidRDefault="005B18C9" w:rsidP="005B18C9">
            <w:pPr>
              <w:pStyle w:val="Default"/>
              <w:jc w:val="center"/>
              <w:rPr>
                <w:rFonts w:ascii="Arial" w:hAnsi="Arial" w:cs="Arial"/>
                <w:sz w:val="12"/>
                <w:szCs w:val="18"/>
              </w:rPr>
            </w:pPr>
            <w:r w:rsidRPr="009A1AEF">
              <w:rPr>
                <w:rFonts w:ascii="Arial" w:hAnsi="Arial" w:cs="Arial"/>
                <w:sz w:val="12"/>
                <w:szCs w:val="18"/>
              </w:rPr>
              <w:t>237</w:t>
            </w:r>
          </w:p>
        </w:tc>
        <w:tc>
          <w:tcPr>
            <w:tcW w:w="394" w:type="pct"/>
            <w:tcBorders>
              <w:top w:val="single" w:sz="4" w:space="0" w:color="auto"/>
              <w:left w:val="nil"/>
              <w:bottom w:val="single" w:sz="4" w:space="0" w:color="auto"/>
              <w:right w:val="single" w:sz="4" w:space="0" w:color="auto"/>
            </w:tcBorders>
            <w:shd w:val="clear" w:color="auto" w:fill="auto"/>
            <w:vAlign w:val="center"/>
          </w:tcPr>
          <w:p w14:paraId="3FC9DCCE" w14:textId="51B14D88" w:rsidR="005B18C9" w:rsidRPr="009A1AEF" w:rsidRDefault="005B18C9" w:rsidP="009A1AEF">
            <w:pPr>
              <w:pStyle w:val="Default"/>
              <w:jc w:val="center"/>
              <w:rPr>
                <w:rFonts w:ascii="Arial" w:hAnsi="Arial" w:cs="Arial"/>
                <w:sz w:val="12"/>
                <w:szCs w:val="18"/>
              </w:rPr>
            </w:pPr>
            <w:r w:rsidRPr="009A1AEF">
              <w:rPr>
                <w:rFonts w:ascii="Arial" w:hAnsi="Arial" w:cs="Arial"/>
                <w:sz w:val="12"/>
                <w:szCs w:val="18"/>
              </w:rPr>
              <w:t>C15.I1</w:t>
            </w:r>
          </w:p>
        </w:tc>
        <w:tc>
          <w:tcPr>
            <w:tcW w:w="430" w:type="pct"/>
            <w:tcBorders>
              <w:top w:val="single" w:sz="4" w:space="0" w:color="auto"/>
              <w:left w:val="nil"/>
              <w:bottom w:val="single" w:sz="4" w:space="0" w:color="auto"/>
              <w:right w:val="single" w:sz="4" w:space="0" w:color="auto"/>
            </w:tcBorders>
            <w:shd w:val="clear" w:color="auto" w:fill="auto"/>
            <w:vAlign w:val="center"/>
          </w:tcPr>
          <w:p w14:paraId="3E28AE44" w14:textId="0A899479" w:rsidR="005B18C9" w:rsidRPr="009A1AEF" w:rsidRDefault="005B18C9" w:rsidP="005B18C9">
            <w:pPr>
              <w:autoSpaceDE w:val="0"/>
              <w:autoSpaceDN w:val="0"/>
              <w:adjustRightInd w:val="0"/>
              <w:jc w:val="center"/>
              <w:rPr>
                <w:rFonts w:ascii="Arial" w:eastAsiaTheme="minorEastAsia" w:hAnsi="Arial" w:cs="Arial"/>
                <w:color w:val="000000"/>
                <w:sz w:val="12"/>
                <w:szCs w:val="18"/>
                <w:lang w:eastAsia="zh-CN"/>
              </w:rPr>
            </w:pPr>
            <w:r w:rsidRPr="009A1AEF">
              <w:rPr>
                <w:rFonts w:ascii="Arial" w:eastAsiaTheme="minorEastAsia" w:hAnsi="Arial" w:cs="Arial"/>
                <w:color w:val="000000"/>
                <w:sz w:val="12"/>
                <w:szCs w:val="18"/>
                <w:lang w:eastAsia="zh-CN"/>
              </w:rPr>
              <w:t>Hito</w:t>
            </w:r>
          </w:p>
        </w:tc>
        <w:tc>
          <w:tcPr>
            <w:tcW w:w="641" w:type="pct"/>
            <w:tcBorders>
              <w:top w:val="single" w:sz="4" w:space="0" w:color="auto"/>
              <w:left w:val="nil"/>
              <w:bottom w:val="single" w:sz="4" w:space="0" w:color="auto"/>
              <w:right w:val="single" w:sz="4" w:space="0" w:color="auto"/>
            </w:tcBorders>
            <w:shd w:val="clear" w:color="auto" w:fill="auto"/>
            <w:vAlign w:val="center"/>
          </w:tcPr>
          <w:p w14:paraId="39B241F7" w14:textId="55C843E6" w:rsidR="005B18C9" w:rsidRPr="009A1AEF" w:rsidRDefault="005B18C9" w:rsidP="009A1AEF">
            <w:pPr>
              <w:pStyle w:val="Default"/>
              <w:jc w:val="center"/>
              <w:rPr>
                <w:rFonts w:ascii="Arial" w:hAnsi="Arial" w:cs="Arial"/>
                <w:sz w:val="12"/>
                <w:szCs w:val="18"/>
              </w:rPr>
            </w:pPr>
            <w:r w:rsidRPr="009A1AEF">
              <w:rPr>
                <w:rFonts w:ascii="Arial" w:hAnsi="Arial" w:cs="Arial"/>
                <w:sz w:val="12"/>
                <w:szCs w:val="18"/>
              </w:rPr>
              <w:t>Finalización de los proyectos adjudicados</w:t>
            </w:r>
          </w:p>
        </w:tc>
        <w:tc>
          <w:tcPr>
            <w:tcW w:w="592" w:type="pct"/>
            <w:tcBorders>
              <w:top w:val="single" w:sz="4" w:space="0" w:color="auto"/>
              <w:left w:val="nil"/>
              <w:bottom w:val="single" w:sz="4" w:space="0" w:color="auto"/>
              <w:right w:val="single" w:sz="4" w:space="0" w:color="auto"/>
            </w:tcBorders>
            <w:shd w:val="clear" w:color="auto" w:fill="auto"/>
            <w:vAlign w:val="center"/>
          </w:tcPr>
          <w:p w14:paraId="069983B7" w14:textId="77777777" w:rsidR="005B18C9" w:rsidRPr="009A1AEF" w:rsidRDefault="005B18C9" w:rsidP="005B18C9">
            <w:pPr>
              <w:pStyle w:val="Default"/>
              <w:jc w:val="both"/>
              <w:rPr>
                <w:rFonts w:ascii="Arial" w:hAnsi="Arial" w:cs="Arial"/>
                <w:sz w:val="12"/>
                <w:szCs w:val="18"/>
              </w:rPr>
            </w:pPr>
          </w:p>
        </w:tc>
        <w:tc>
          <w:tcPr>
            <w:tcW w:w="250" w:type="pct"/>
            <w:tcBorders>
              <w:top w:val="single" w:sz="4" w:space="0" w:color="auto"/>
              <w:left w:val="nil"/>
              <w:bottom w:val="single" w:sz="4" w:space="0" w:color="auto"/>
              <w:right w:val="single" w:sz="4" w:space="0" w:color="auto"/>
            </w:tcBorders>
            <w:shd w:val="clear" w:color="auto" w:fill="auto"/>
            <w:vAlign w:val="center"/>
          </w:tcPr>
          <w:p w14:paraId="4A5EB4EF" w14:textId="77777777" w:rsidR="005B18C9" w:rsidRPr="009A1AEF" w:rsidRDefault="005B18C9">
            <w:pPr>
              <w:spacing w:before="60" w:line="256" w:lineRule="auto"/>
              <w:jc w:val="center"/>
              <w:rPr>
                <w:rFonts w:ascii="Arial" w:eastAsia="Times New Roman" w:hAnsi="Arial" w:cs="Arial"/>
                <w:color w:val="000000"/>
                <w:sz w:val="12"/>
                <w:szCs w:val="16"/>
                <w:lang w:eastAsia="es-ES"/>
              </w:rPr>
            </w:pPr>
          </w:p>
        </w:tc>
        <w:tc>
          <w:tcPr>
            <w:tcW w:w="250" w:type="pct"/>
            <w:tcBorders>
              <w:top w:val="single" w:sz="4" w:space="0" w:color="auto"/>
              <w:left w:val="nil"/>
              <w:bottom w:val="single" w:sz="4" w:space="0" w:color="auto"/>
              <w:right w:val="single" w:sz="4" w:space="0" w:color="auto"/>
            </w:tcBorders>
            <w:shd w:val="clear" w:color="auto" w:fill="auto"/>
            <w:vAlign w:val="center"/>
          </w:tcPr>
          <w:p w14:paraId="2E500A2B" w14:textId="77777777" w:rsidR="005B18C9" w:rsidRPr="009A1AEF" w:rsidRDefault="005B18C9">
            <w:pPr>
              <w:spacing w:before="60" w:line="256" w:lineRule="auto"/>
              <w:jc w:val="right"/>
              <w:rPr>
                <w:rFonts w:ascii="Arial" w:eastAsia="Times New Roman" w:hAnsi="Arial" w:cs="Arial"/>
                <w:color w:val="000000"/>
                <w:sz w:val="12"/>
                <w:szCs w:val="16"/>
                <w:lang w:eastAsia="es-ES"/>
              </w:rPr>
            </w:pPr>
          </w:p>
        </w:tc>
        <w:tc>
          <w:tcPr>
            <w:tcW w:w="250" w:type="pct"/>
            <w:tcBorders>
              <w:top w:val="single" w:sz="4" w:space="0" w:color="auto"/>
              <w:left w:val="nil"/>
              <w:bottom w:val="single" w:sz="4" w:space="0" w:color="auto"/>
              <w:right w:val="single" w:sz="4" w:space="0" w:color="auto"/>
            </w:tcBorders>
            <w:shd w:val="clear" w:color="auto" w:fill="auto"/>
            <w:vAlign w:val="center"/>
          </w:tcPr>
          <w:p w14:paraId="4FA2E930" w14:textId="77777777" w:rsidR="005B18C9" w:rsidRPr="009A1AEF" w:rsidRDefault="005B18C9">
            <w:pPr>
              <w:spacing w:before="60" w:line="256" w:lineRule="auto"/>
              <w:jc w:val="right"/>
              <w:rPr>
                <w:rFonts w:ascii="Arial" w:eastAsia="Times New Roman" w:hAnsi="Arial" w:cs="Arial"/>
                <w:color w:val="000000"/>
                <w:sz w:val="12"/>
                <w:szCs w:val="16"/>
                <w:lang w:eastAsia="es-ES"/>
              </w:rPr>
            </w:pPr>
          </w:p>
        </w:tc>
        <w:tc>
          <w:tcPr>
            <w:tcW w:w="195" w:type="pct"/>
            <w:tcBorders>
              <w:top w:val="single" w:sz="4" w:space="0" w:color="auto"/>
              <w:left w:val="nil"/>
              <w:bottom w:val="single" w:sz="4" w:space="0" w:color="auto"/>
              <w:right w:val="single" w:sz="4" w:space="0" w:color="auto"/>
            </w:tcBorders>
            <w:shd w:val="clear" w:color="auto" w:fill="auto"/>
            <w:vAlign w:val="center"/>
          </w:tcPr>
          <w:p w14:paraId="37D8C0E9" w14:textId="1C61FC75" w:rsidR="005B18C9" w:rsidRPr="009A1AEF" w:rsidRDefault="005B18C9">
            <w:pPr>
              <w:spacing w:before="60" w:line="256" w:lineRule="auto"/>
              <w:jc w:val="left"/>
              <w:rPr>
                <w:rFonts w:ascii="Arial" w:eastAsia="Times New Roman" w:hAnsi="Arial" w:cs="Arial"/>
                <w:color w:val="000000"/>
                <w:sz w:val="12"/>
                <w:szCs w:val="16"/>
                <w:lang w:eastAsia="es-ES"/>
              </w:rPr>
            </w:pPr>
            <w:r w:rsidRPr="009A1AEF">
              <w:rPr>
                <w:rFonts w:ascii="Arial" w:eastAsia="Times New Roman" w:hAnsi="Arial" w:cs="Arial"/>
                <w:color w:val="000000"/>
                <w:sz w:val="12"/>
                <w:szCs w:val="16"/>
                <w:lang w:eastAsia="es-ES"/>
              </w:rPr>
              <w:t>T4</w:t>
            </w:r>
          </w:p>
        </w:tc>
        <w:tc>
          <w:tcPr>
            <w:tcW w:w="273" w:type="pct"/>
            <w:tcBorders>
              <w:top w:val="single" w:sz="4" w:space="0" w:color="auto"/>
              <w:left w:val="nil"/>
              <w:bottom w:val="single" w:sz="4" w:space="0" w:color="auto"/>
              <w:right w:val="single" w:sz="4" w:space="0" w:color="auto"/>
            </w:tcBorders>
            <w:shd w:val="clear" w:color="auto" w:fill="auto"/>
            <w:vAlign w:val="center"/>
          </w:tcPr>
          <w:p w14:paraId="116D88C2" w14:textId="5BBA535B" w:rsidR="005B18C9" w:rsidRPr="009A1AEF" w:rsidRDefault="005B18C9">
            <w:pPr>
              <w:spacing w:before="60" w:line="256" w:lineRule="auto"/>
              <w:jc w:val="right"/>
              <w:rPr>
                <w:rFonts w:ascii="Arial" w:eastAsia="Times New Roman" w:hAnsi="Arial" w:cs="Arial"/>
                <w:color w:val="000000"/>
                <w:sz w:val="12"/>
                <w:szCs w:val="16"/>
                <w:lang w:eastAsia="es-ES"/>
              </w:rPr>
            </w:pPr>
            <w:r w:rsidRPr="009A1AEF">
              <w:rPr>
                <w:rFonts w:ascii="Arial" w:eastAsia="Times New Roman" w:hAnsi="Arial" w:cs="Arial"/>
                <w:color w:val="000000"/>
                <w:sz w:val="12"/>
                <w:szCs w:val="16"/>
                <w:lang w:eastAsia="es-ES"/>
              </w:rPr>
              <w:t>2025</w:t>
            </w:r>
          </w:p>
        </w:tc>
        <w:tc>
          <w:tcPr>
            <w:tcW w:w="1503" w:type="pct"/>
            <w:tcBorders>
              <w:top w:val="single" w:sz="4" w:space="0" w:color="auto"/>
              <w:left w:val="nil"/>
              <w:bottom w:val="single" w:sz="4" w:space="0" w:color="auto"/>
              <w:right w:val="single" w:sz="4" w:space="0" w:color="auto"/>
            </w:tcBorders>
            <w:shd w:val="clear" w:color="auto" w:fill="auto"/>
            <w:vAlign w:val="center"/>
          </w:tcPr>
          <w:p w14:paraId="32243359" w14:textId="2085CA15" w:rsidR="005B18C9" w:rsidRPr="009A1AEF" w:rsidRDefault="005B18C9" w:rsidP="009A1AEF">
            <w:pPr>
              <w:pStyle w:val="Default"/>
              <w:rPr>
                <w:rFonts w:ascii="Arial" w:eastAsia="Times New Roman" w:hAnsi="Arial" w:cs="Arial"/>
                <w:sz w:val="12"/>
                <w:szCs w:val="16"/>
                <w:lang w:eastAsia="es-ES"/>
              </w:rPr>
            </w:pPr>
            <w:r w:rsidRPr="009A1AEF">
              <w:rPr>
                <w:rFonts w:ascii="Arial" w:hAnsi="Arial" w:cs="Arial"/>
                <w:sz w:val="12"/>
                <w:szCs w:val="18"/>
              </w:rPr>
              <w:t>Finalización de los proyectos de extensión de la banda ancha ultrarrápida, de conformidad con los criterios establecidos para la adjudic</w:t>
            </w:r>
            <w:r w:rsidR="009A1AEF">
              <w:rPr>
                <w:rFonts w:ascii="Arial" w:hAnsi="Arial" w:cs="Arial"/>
                <w:sz w:val="12"/>
                <w:szCs w:val="18"/>
              </w:rPr>
              <w:t>ación del programa (Hito #236).</w:t>
            </w:r>
          </w:p>
        </w:tc>
      </w:tr>
    </w:tbl>
    <w:p w14:paraId="67584673" w14:textId="074C872C" w:rsidR="0078377E" w:rsidRPr="000C4191" w:rsidRDefault="0078377E" w:rsidP="000C4191">
      <w:pPr>
        <w:tabs>
          <w:tab w:val="left" w:pos="567"/>
          <w:tab w:val="left" w:pos="1559"/>
        </w:tabs>
        <w:spacing w:before="360" w:after="120" w:line="360" w:lineRule="exact"/>
        <w:jc w:val="left"/>
        <w:rPr>
          <w:rFonts w:ascii="Arial" w:hAnsi="Arial" w:cs="Arial"/>
          <w:b/>
        </w:rPr>
      </w:pPr>
      <w:r w:rsidRPr="000C4191">
        <w:rPr>
          <w:rFonts w:ascii="Arial" w:hAnsi="Arial" w:cs="Arial"/>
          <w:b/>
        </w:rPr>
        <w:t>C</w:t>
      </w:r>
      <w:r w:rsidR="00571E4C" w:rsidRPr="000C4191">
        <w:rPr>
          <w:rFonts w:ascii="Arial" w:hAnsi="Arial" w:cs="Arial"/>
          <w:b/>
        </w:rPr>
        <w:t>ENTRO GESTOR RESPONSABLE</w:t>
      </w:r>
    </w:p>
    <w:p w14:paraId="409396F3" w14:textId="47A63C61" w:rsidR="0078377E" w:rsidRPr="00356B41" w:rsidRDefault="0078377E" w:rsidP="009A1AEF">
      <w:pPr>
        <w:pStyle w:val="Prrafodelista"/>
        <w:tabs>
          <w:tab w:val="left" w:pos="567"/>
          <w:tab w:val="left" w:pos="1559"/>
        </w:tabs>
        <w:spacing w:before="120" w:after="120" w:line="360" w:lineRule="exact"/>
        <w:ind w:left="1134" w:hanging="567"/>
        <w:contextualSpacing w:val="0"/>
        <w:jc w:val="left"/>
        <w:rPr>
          <w:rFonts w:ascii="Arial" w:hAnsi="Arial" w:cs="Arial"/>
        </w:rPr>
      </w:pPr>
      <w:r>
        <w:rPr>
          <w:rFonts w:ascii="Arial" w:hAnsi="Arial" w:cs="Arial"/>
        </w:rPr>
        <w:t>Secretaría de Estado de Telecomunicaciones e Infraestructuras digitales</w:t>
      </w:r>
      <w:r w:rsidR="009A1AEF">
        <w:rPr>
          <w:rFonts w:ascii="Arial" w:hAnsi="Arial" w:cs="Arial"/>
        </w:rPr>
        <w:t>.</w:t>
      </w:r>
    </w:p>
    <w:sectPr w:rsidR="0078377E" w:rsidRPr="00356B41" w:rsidSect="002A7CEE">
      <w:pgSz w:w="11906" w:h="16838"/>
      <w:pgMar w:top="1985" w:right="1134"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7BCCD" w14:textId="77777777" w:rsidR="004B1DC8" w:rsidRDefault="004B1DC8" w:rsidP="002B7592">
      <w:r>
        <w:separator/>
      </w:r>
    </w:p>
  </w:endnote>
  <w:endnote w:type="continuationSeparator" w:id="0">
    <w:p w14:paraId="095A9B13" w14:textId="77777777" w:rsidR="004B1DC8" w:rsidRDefault="004B1DC8" w:rsidP="002B7592">
      <w:r>
        <w:continuationSeparator/>
      </w:r>
    </w:p>
  </w:endnote>
  <w:endnote w:type="continuationNotice" w:id="1">
    <w:p w14:paraId="218EB93B" w14:textId="77777777" w:rsidR="004B1DC8" w:rsidRDefault="004B1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FE4C4" w14:textId="77777777" w:rsidR="004B1DC8" w:rsidRDefault="004B1DC8" w:rsidP="002B7592">
      <w:r>
        <w:separator/>
      </w:r>
    </w:p>
  </w:footnote>
  <w:footnote w:type="continuationSeparator" w:id="0">
    <w:p w14:paraId="49B12E8B" w14:textId="77777777" w:rsidR="004B1DC8" w:rsidRDefault="004B1DC8" w:rsidP="002B7592">
      <w:r>
        <w:continuationSeparator/>
      </w:r>
    </w:p>
  </w:footnote>
  <w:footnote w:type="continuationNotice" w:id="1">
    <w:p w14:paraId="721AB5F9" w14:textId="77777777" w:rsidR="004B1DC8" w:rsidRDefault="004B1DC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7392"/>
    <w:multiLevelType w:val="hybridMultilevel"/>
    <w:tmpl w:val="270419D4"/>
    <w:lvl w:ilvl="0" w:tplc="33C227F0">
      <w:start w:val="1"/>
      <w:numFmt w:val="decimal"/>
      <w:lvlText w:val="%1."/>
      <w:lvlJc w:val="left"/>
      <w:pPr>
        <w:ind w:left="2487"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8B22895"/>
    <w:multiLevelType w:val="hybridMultilevel"/>
    <w:tmpl w:val="1E96DCC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 w15:restartNumberingAfterBreak="0">
    <w:nsid w:val="298D5345"/>
    <w:multiLevelType w:val="hybridMultilevel"/>
    <w:tmpl w:val="52D297FA"/>
    <w:lvl w:ilvl="0" w:tplc="D794D4EC">
      <w:start w:val="1"/>
      <w:numFmt w:val="decimal"/>
      <w:lvlText w:val="%1."/>
      <w:lvlJc w:val="left"/>
      <w:pPr>
        <w:ind w:left="1353"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8670EE6"/>
    <w:multiLevelType w:val="hybridMultilevel"/>
    <w:tmpl w:val="C3947DEE"/>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4" w15:restartNumberingAfterBreak="0">
    <w:nsid w:val="4F0B26DC"/>
    <w:multiLevelType w:val="hybridMultilevel"/>
    <w:tmpl w:val="E69A58EC"/>
    <w:lvl w:ilvl="0" w:tplc="33C227F0">
      <w:start w:val="1"/>
      <w:numFmt w:val="decimal"/>
      <w:lvlText w:val="%1."/>
      <w:lvlJc w:val="left"/>
      <w:pPr>
        <w:ind w:left="2487"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5615A50"/>
    <w:multiLevelType w:val="hybridMultilevel"/>
    <w:tmpl w:val="9306D606"/>
    <w:lvl w:ilvl="0" w:tplc="53B47CFE">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6" w15:restartNumberingAfterBreak="0">
    <w:nsid w:val="771A7B95"/>
    <w:multiLevelType w:val="hybridMultilevel"/>
    <w:tmpl w:val="A54C0368"/>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2"/>
  </w:num>
  <w:num w:numId="6">
    <w:abstractNumId w:val="5"/>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754D"/>
    <w:rsid w:val="00042B86"/>
    <w:rsid w:val="00045103"/>
    <w:rsid w:val="00045F17"/>
    <w:rsid w:val="000514C7"/>
    <w:rsid w:val="0005380E"/>
    <w:rsid w:val="0005652A"/>
    <w:rsid w:val="00057171"/>
    <w:rsid w:val="000718DE"/>
    <w:rsid w:val="000765B2"/>
    <w:rsid w:val="00077D19"/>
    <w:rsid w:val="00082871"/>
    <w:rsid w:val="00084912"/>
    <w:rsid w:val="00084F8A"/>
    <w:rsid w:val="00093994"/>
    <w:rsid w:val="00093FE2"/>
    <w:rsid w:val="000951B5"/>
    <w:rsid w:val="000975A3"/>
    <w:rsid w:val="000A25FC"/>
    <w:rsid w:val="000A3569"/>
    <w:rsid w:val="000B1CC3"/>
    <w:rsid w:val="000B78EE"/>
    <w:rsid w:val="000C4191"/>
    <w:rsid w:val="000C7240"/>
    <w:rsid w:val="000D189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E71"/>
    <w:rsid w:val="00150F25"/>
    <w:rsid w:val="001660CA"/>
    <w:rsid w:val="00170C12"/>
    <w:rsid w:val="00170F9B"/>
    <w:rsid w:val="00171268"/>
    <w:rsid w:val="0017627D"/>
    <w:rsid w:val="0018162F"/>
    <w:rsid w:val="00181A85"/>
    <w:rsid w:val="00182449"/>
    <w:rsid w:val="00184CAB"/>
    <w:rsid w:val="00185325"/>
    <w:rsid w:val="00196FB2"/>
    <w:rsid w:val="001A1D1E"/>
    <w:rsid w:val="001A1FB5"/>
    <w:rsid w:val="001A45C4"/>
    <w:rsid w:val="001A5A83"/>
    <w:rsid w:val="001B6367"/>
    <w:rsid w:val="001C627C"/>
    <w:rsid w:val="001D6FFA"/>
    <w:rsid w:val="001E27C5"/>
    <w:rsid w:val="001F00B4"/>
    <w:rsid w:val="001F3484"/>
    <w:rsid w:val="001F4FD4"/>
    <w:rsid w:val="00205E7B"/>
    <w:rsid w:val="00207DE1"/>
    <w:rsid w:val="0021115C"/>
    <w:rsid w:val="00213AD6"/>
    <w:rsid w:val="002146B1"/>
    <w:rsid w:val="00221200"/>
    <w:rsid w:val="0022780A"/>
    <w:rsid w:val="00242BBC"/>
    <w:rsid w:val="00252290"/>
    <w:rsid w:val="002536DE"/>
    <w:rsid w:val="00255DF3"/>
    <w:rsid w:val="00256DDB"/>
    <w:rsid w:val="00261755"/>
    <w:rsid w:val="00262699"/>
    <w:rsid w:val="00276BAA"/>
    <w:rsid w:val="002810C3"/>
    <w:rsid w:val="00281D33"/>
    <w:rsid w:val="00283346"/>
    <w:rsid w:val="002917F8"/>
    <w:rsid w:val="00291B76"/>
    <w:rsid w:val="002A6BF3"/>
    <w:rsid w:val="002A7CEE"/>
    <w:rsid w:val="002B03A7"/>
    <w:rsid w:val="002B7592"/>
    <w:rsid w:val="002C03F3"/>
    <w:rsid w:val="002C657A"/>
    <w:rsid w:val="002C6677"/>
    <w:rsid w:val="002C6E9F"/>
    <w:rsid w:val="002D0AAF"/>
    <w:rsid w:val="002D70B6"/>
    <w:rsid w:val="002E554D"/>
    <w:rsid w:val="002E6657"/>
    <w:rsid w:val="002F16F0"/>
    <w:rsid w:val="002F48FD"/>
    <w:rsid w:val="002F5953"/>
    <w:rsid w:val="002F7579"/>
    <w:rsid w:val="003059E2"/>
    <w:rsid w:val="00306A71"/>
    <w:rsid w:val="00315B2F"/>
    <w:rsid w:val="00320A41"/>
    <w:rsid w:val="00324462"/>
    <w:rsid w:val="00325305"/>
    <w:rsid w:val="003260FB"/>
    <w:rsid w:val="0032671E"/>
    <w:rsid w:val="003323DA"/>
    <w:rsid w:val="00333D1A"/>
    <w:rsid w:val="003370F2"/>
    <w:rsid w:val="00346457"/>
    <w:rsid w:val="00356340"/>
    <w:rsid w:val="00356B41"/>
    <w:rsid w:val="003628B5"/>
    <w:rsid w:val="00363A00"/>
    <w:rsid w:val="00366D8B"/>
    <w:rsid w:val="00370950"/>
    <w:rsid w:val="00381152"/>
    <w:rsid w:val="00390888"/>
    <w:rsid w:val="003A0784"/>
    <w:rsid w:val="003A1EEE"/>
    <w:rsid w:val="003A5628"/>
    <w:rsid w:val="003C3A5C"/>
    <w:rsid w:val="003C4153"/>
    <w:rsid w:val="003D28CA"/>
    <w:rsid w:val="003D5AAA"/>
    <w:rsid w:val="003D6C6F"/>
    <w:rsid w:val="003E00A1"/>
    <w:rsid w:val="003E1791"/>
    <w:rsid w:val="003E5D55"/>
    <w:rsid w:val="003E6795"/>
    <w:rsid w:val="003E6F84"/>
    <w:rsid w:val="003F188C"/>
    <w:rsid w:val="003F74D8"/>
    <w:rsid w:val="00402F54"/>
    <w:rsid w:val="00405B71"/>
    <w:rsid w:val="00406BFA"/>
    <w:rsid w:val="00411539"/>
    <w:rsid w:val="00424C29"/>
    <w:rsid w:val="0043494C"/>
    <w:rsid w:val="004362A0"/>
    <w:rsid w:val="00436A79"/>
    <w:rsid w:val="004460E9"/>
    <w:rsid w:val="004514E2"/>
    <w:rsid w:val="00453C1E"/>
    <w:rsid w:val="004553EF"/>
    <w:rsid w:val="00461D07"/>
    <w:rsid w:val="00474CE6"/>
    <w:rsid w:val="00481F66"/>
    <w:rsid w:val="004823BC"/>
    <w:rsid w:val="004834AE"/>
    <w:rsid w:val="00485ACC"/>
    <w:rsid w:val="00496BC1"/>
    <w:rsid w:val="004A0EBA"/>
    <w:rsid w:val="004A1DB3"/>
    <w:rsid w:val="004A5C92"/>
    <w:rsid w:val="004B0558"/>
    <w:rsid w:val="004B1DC8"/>
    <w:rsid w:val="004B3953"/>
    <w:rsid w:val="004B659B"/>
    <w:rsid w:val="004C7AFE"/>
    <w:rsid w:val="004D0B63"/>
    <w:rsid w:val="004D309F"/>
    <w:rsid w:val="004D518D"/>
    <w:rsid w:val="004D69CE"/>
    <w:rsid w:val="004E06AB"/>
    <w:rsid w:val="004E1197"/>
    <w:rsid w:val="004E490A"/>
    <w:rsid w:val="004F307E"/>
    <w:rsid w:val="004F7706"/>
    <w:rsid w:val="00504013"/>
    <w:rsid w:val="00506850"/>
    <w:rsid w:val="0050724E"/>
    <w:rsid w:val="005105D6"/>
    <w:rsid w:val="00512BE3"/>
    <w:rsid w:val="00523664"/>
    <w:rsid w:val="00523CFA"/>
    <w:rsid w:val="0053117C"/>
    <w:rsid w:val="00533331"/>
    <w:rsid w:val="0054222D"/>
    <w:rsid w:val="005468D4"/>
    <w:rsid w:val="00547386"/>
    <w:rsid w:val="00547525"/>
    <w:rsid w:val="0055012C"/>
    <w:rsid w:val="00552D69"/>
    <w:rsid w:val="00556360"/>
    <w:rsid w:val="00557158"/>
    <w:rsid w:val="0055767F"/>
    <w:rsid w:val="00560900"/>
    <w:rsid w:val="00566FEF"/>
    <w:rsid w:val="00571E4C"/>
    <w:rsid w:val="00571FE9"/>
    <w:rsid w:val="00576CAF"/>
    <w:rsid w:val="00583B83"/>
    <w:rsid w:val="00592942"/>
    <w:rsid w:val="005A4620"/>
    <w:rsid w:val="005A6B96"/>
    <w:rsid w:val="005B18C9"/>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401E"/>
    <w:rsid w:val="00692389"/>
    <w:rsid w:val="00696AF6"/>
    <w:rsid w:val="006C7673"/>
    <w:rsid w:val="006D1133"/>
    <w:rsid w:val="006D51F9"/>
    <w:rsid w:val="006D607D"/>
    <w:rsid w:val="006D62DD"/>
    <w:rsid w:val="006E1D9C"/>
    <w:rsid w:val="006E48B5"/>
    <w:rsid w:val="006F1269"/>
    <w:rsid w:val="006F4EF5"/>
    <w:rsid w:val="007061EE"/>
    <w:rsid w:val="007167A6"/>
    <w:rsid w:val="00716AAA"/>
    <w:rsid w:val="00720270"/>
    <w:rsid w:val="007337A3"/>
    <w:rsid w:val="00747E35"/>
    <w:rsid w:val="0075037B"/>
    <w:rsid w:val="00751089"/>
    <w:rsid w:val="00756064"/>
    <w:rsid w:val="00760F25"/>
    <w:rsid w:val="00774240"/>
    <w:rsid w:val="007835A0"/>
    <w:rsid w:val="0078377E"/>
    <w:rsid w:val="007844CB"/>
    <w:rsid w:val="00784AAE"/>
    <w:rsid w:val="00785016"/>
    <w:rsid w:val="00785F68"/>
    <w:rsid w:val="00787351"/>
    <w:rsid w:val="00791045"/>
    <w:rsid w:val="007A55C8"/>
    <w:rsid w:val="007C47FF"/>
    <w:rsid w:val="007C49BA"/>
    <w:rsid w:val="007C5AFC"/>
    <w:rsid w:val="007C7883"/>
    <w:rsid w:val="007D028E"/>
    <w:rsid w:val="007D2CD9"/>
    <w:rsid w:val="007D2D78"/>
    <w:rsid w:val="007D37BD"/>
    <w:rsid w:val="007D7CA8"/>
    <w:rsid w:val="007E5738"/>
    <w:rsid w:val="008047CD"/>
    <w:rsid w:val="00807D9F"/>
    <w:rsid w:val="00810DED"/>
    <w:rsid w:val="00811417"/>
    <w:rsid w:val="00815C10"/>
    <w:rsid w:val="00864202"/>
    <w:rsid w:val="00867128"/>
    <w:rsid w:val="0087052F"/>
    <w:rsid w:val="00880BC7"/>
    <w:rsid w:val="0088412C"/>
    <w:rsid w:val="0088416B"/>
    <w:rsid w:val="00890798"/>
    <w:rsid w:val="008935F7"/>
    <w:rsid w:val="00896FD8"/>
    <w:rsid w:val="008A7CB1"/>
    <w:rsid w:val="008B409C"/>
    <w:rsid w:val="008B6465"/>
    <w:rsid w:val="008C0C51"/>
    <w:rsid w:val="008C3785"/>
    <w:rsid w:val="008C6868"/>
    <w:rsid w:val="008D671A"/>
    <w:rsid w:val="008D6E7E"/>
    <w:rsid w:val="008E4B90"/>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A1AEF"/>
    <w:rsid w:val="009A44EF"/>
    <w:rsid w:val="009B6503"/>
    <w:rsid w:val="009C22F5"/>
    <w:rsid w:val="009E5521"/>
    <w:rsid w:val="009F525D"/>
    <w:rsid w:val="009F74BE"/>
    <w:rsid w:val="00A01FCB"/>
    <w:rsid w:val="00A03519"/>
    <w:rsid w:val="00A057BE"/>
    <w:rsid w:val="00A135E0"/>
    <w:rsid w:val="00A15E23"/>
    <w:rsid w:val="00A247F6"/>
    <w:rsid w:val="00A41EDC"/>
    <w:rsid w:val="00A447C8"/>
    <w:rsid w:val="00A4517A"/>
    <w:rsid w:val="00A56A5E"/>
    <w:rsid w:val="00A65159"/>
    <w:rsid w:val="00A7103F"/>
    <w:rsid w:val="00A72061"/>
    <w:rsid w:val="00A7303B"/>
    <w:rsid w:val="00A73E1D"/>
    <w:rsid w:val="00A776C1"/>
    <w:rsid w:val="00A825C5"/>
    <w:rsid w:val="00A83507"/>
    <w:rsid w:val="00A836EE"/>
    <w:rsid w:val="00A859FC"/>
    <w:rsid w:val="00A933F4"/>
    <w:rsid w:val="00A954FF"/>
    <w:rsid w:val="00A96383"/>
    <w:rsid w:val="00A97709"/>
    <w:rsid w:val="00AA3E42"/>
    <w:rsid w:val="00AA48CA"/>
    <w:rsid w:val="00AB728F"/>
    <w:rsid w:val="00AC315B"/>
    <w:rsid w:val="00AE1073"/>
    <w:rsid w:val="00AE1CA9"/>
    <w:rsid w:val="00B01543"/>
    <w:rsid w:val="00B115E3"/>
    <w:rsid w:val="00B11A28"/>
    <w:rsid w:val="00B132CE"/>
    <w:rsid w:val="00B209A1"/>
    <w:rsid w:val="00B306E5"/>
    <w:rsid w:val="00B36579"/>
    <w:rsid w:val="00B37B95"/>
    <w:rsid w:val="00B532A1"/>
    <w:rsid w:val="00B55922"/>
    <w:rsid w:val="00B5632F"/>
    <w:rsid w:val="00B626AD"/>
    <w:rsid w:val="00B67276"/>
    <w:rsid w:val="00B92A14"/>
    <w:rsid w:val="00B9689E"/>
    <w:rsid w:val="00BA3F4F"/>
    <w:rsid w:val="00BC47B0"/>
    <w:rsid w:val="00BE091D"/>
    <w:rsid w:val="00BE12CA"/>
    <w:rsid w:val="00BE45DA"/>
    <w:rsid w:val="00BE48EE"/>
    <w:rsid w:val="00BE529A"/>
    <w:rsid w:val="00BF376A"/>
    <w:rsid w:val="00BF4915"/>
    <w:rsid w:val="00BF54C4"/>
    <w:rsid w:val="00C0338A"/>
    <w:rsid w:val="00C134F0"/>
    <w:rsid w:val="00C21EC5"/>
    <w:rsid w:val="00C22E40"/>
    <w:rsid w:val="00C26612"/>
    <w:rsid w:val="00C26960"/>
    <w:rsid w:val="00C301AC"/>
    <w:rsid w:val="00C31427"/>
    <w:rsid w:val="00C31579"/>
    <w:rsid w:val="00C55D78"/>
    <w:rsid w:val="00C5602B"/>
    <w:rsid w:val="00C70ECC"/>
    <w:rsid w:val="00C85552"/>
    <w:rsid w:val="00C872A1"/>
    <w:rsid w:val="00C91F34"/>
    <w:rsid w:val="00C968F7"/>
    <w:rsid w:val="00CA047A"/>
    <w:rsid w:val="00CB6E6A"/>
    <w:rsid w:val="00CB6EC3"/>
    <w:rsid w:val="00CB763D"/>
    <w:rsid w:val="00CC2C50"/>
    <w:rsid w:val="00CC5768"/>
    <w:rsid w:val="00CC5CCE"/>
    <w:rsid w:val="00CC68F4"/>
    <w:rsid w:val="00CC6D8C"/>
    <w:rsid w:val="00CD0845"/>
    <w:rsid w:val="00CD4465"/>
    <w:rsid w:val="00CE03AC"/>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4832"/>
    <w:rsid w:val="00D65391"/>
    <w:rsid w:val="00D81FF0"/>
    <w:rsid w:val="00D91CBD"/>
    <w:rsid w:val="00D936FE"/>
    <w:rsid w:val="00DA1782"/>
    <w:rsid w:val="00DB0E6A"/>
    <w:rsid w:val="00DC4B4A"/>
    <w:rsid w:val="00DD2E0F"/>
    <w:rsid w:val="00DD6CBE"/>
    <w:rsid w:val="00DE2A85"/>
    <w:rsid w:val="00DE5206"/>
    <w:rsid w:val="00DE5571"/>
    <w:rsid w:val="00DE5AAF"/>
    <w:rsid w:val="00DE6C50"/>
    <w:rsid w:val="00DF3CEC"/>
    <w:rsid w:val="00E02B7C"/>
    <w:rsid w:val="00E037E8"/>
    <w:rsid w:val="00E052AF"/>
    <w:rsid w:val="00E059DE"/>
    <w:rsid w:val="00E15B8C"/>
    <w:rsid w:val="00E173FA"/>
    <w:rsid w:val="00E26DC2"/>
    <w:rsid w:val="00E369FE"/>
    <w:rsid w:val="00E37B09"/>
    <w:rsid w:val="00E41FE0"/>
    <w:rsid w:val="00E564B5"/>
    <w:rsid w:val="00E57113"/>
    <w:rsid w:val="00E63071"/>
    <w:rsid w:val="00E702CA"/>
    <w:rsid w:val="00E72120"/>
    <w:rsid w:val="00E728EC"/>
    <w:rsid w:val="00E73376"/>
    <w:rsid w:val="00E7584A"/>
    <w:rsid w:val="00E8235B"/>
    <w:rsid w:val="00E85A6E"/>
    <w:rsid w:val="00E86907"/>
    <w:rsid w:val="00E93189"/>
    <w:rsid w:val="00EA6342"/>
    <w:rsid w:val="00EB3894"/>
    <w:rsid w:val="00EB7CD0"/>
    <w:rsid w:val="00EC0A73"/>
    <w:rsid w:val="00EC1783"/>
    <w:rsid w:val="00ED342F"/>
    <w:rsid w:val="00EE7569"/>
    <w:rsid w:val="00F0552E"/>
    <w:rsid w:val="00F121F7"/>
    <w:rsid w:val="00F12E00"/>
    <w:rsid w:val="00F34BB2"/>
    <w:rsid w:val="00F3767D"/>
    <w:rsid w:val="00F42F89"/>
    <w:rsid w:val="00F4353A"/>
    <w:rsid w:val="00F513A1"/>
    <w:rsid w:val="00F52024"/>
    <w:rsid w:val="00F616E3"/>
    <w:rsid w:val="00F7406E"/>
    <w:rsid w:val="00F7436D"/>
    <w:rsid w:val="00F877FB"/>
    <w:rsid w:val="00FA67C3"/>
    <w:rsid w:val="00FB1C0C"/>
    <w:rsid w:val="00FC7E7F"/>
    <w:rsid w:val="00FE2A3F"/>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74AFFA29-3069-4BED-BEB1-D19B7576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DE5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DE5571"/>
    <w:rPr>
      <w:rFonts w:ascii="Courier New" w:eastAsia="Times New Roman" w:hAnsi="Courier New" w:cs="Courier New"/>
      <w:sz w:val="20"/>
      <w:szCs w:val="20"/>
      <w:lang w:eastAsia="es-ES"/>
    </w:rPr>
  </w:style>
  <w:style w:type="character" w:customStyle="1" w:styleId="y2iqfc">
    <w:name w:val="y2iqfc"/>
    <w:basedOn w:val="Fuentedeprrafopredeter"/>
    <w:rsid w:val="00DE5571"/>
  </w:style>
  <w:style w:type="paragraph" w:styleId="Sinespaciado">
    <w:name w:val="No Spacing"/>
    <w:uiPriority w:val="1"/>
    <w:qFormat/>
    <w:rsid w:val="003D6C6F"/>
    <w:pPr>
      <w:spacing w:after="0" w:line="240" w:lineRule="auto"/>
      <w:jc w:val="both"/>
    </w:pPr>
    <w:rPr>
      <w:rFonts w:ascii="Calibri" w:eastAsia="Calibri" w:hAnsi="Calibri" w:cs="Times New Roman"/>
      <w:lang w:eastAsia="en-US"/>
    </w:rPr>
  </w:style>
  <w:style w:type="paragraph" w:customStyle="1" w:styleId="Default">
    <w:name w:val="Default"/>
    <w:rsid w:val="007D2D7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7895556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715470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2C70E-2900-46DE-A8D3-EEFBE471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828</Words>
  <Characters>4558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9</cp:revision>
  <cp:lastPrinted>2020-01-31T09:46:00Z</cp:lastPrinted>
  <dcterms:created xsi:type="dcterms:W3CDTF">2021-07-09T12:40:00Z</dcterms:created>
  <dcterms:modified xsi:type="dcterms:W3CDTF">2022-06-13T11:18:00Z</dcterms:modified>
</cp:coreProperties>
</file>